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29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现场勘查记录</w:t>
      </w:r>
    </w:p>
    <w:p w14:paraId="1D13D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157" w:afterLines="50"/>
        <w:jc w:val="center"/>
        <w:textAlignment w:val="auto"/>
        <w:rPr>
          <w:rFonts w:hint="eastAsia"/>
        </w:rPr>
      </w:pPr>
      <w:r>
        <w:rPr>
          <w:rFonts w:hint="eastAsia"/>
          <w:b/>
          <w:bCs/>
          <w:sz w:val="44"/>
          <w:szCs w:val="44"/>
        </w:rPr>
        <w:t>项目组长任命书</w:t>
      </w:r>
    </w:p>
    <w:p w14:paraId="622DA3DE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根据有关法律、法规及本项目服务《合同书》《委托书》及本机构过程控制手册的工作程序与授权办法，现对开展本项目工作的负责人进行任命及授权。</w:t>
      </w:r>
    </w:p>
    <w:p w14:paraId="575B8883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sz w:val="28"/>
          <w:szCs w:val="28"/>
        </w:rPr>
        <w:t>任命</w:t>
      </w:r>
    </w:p>
    <w:p w14:paraId="194DD27D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现任命李毅雄同志，担任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玉溪正宇智能科技有限公司</w:t>
      </w:r>
      <w:r>
        <w:rPr>
          <w:rFonts w:hint="eastAsia" w:ascii="宋体" w:hAnsi="宋体" w:eastAsia="宋体" w:cs="宋体"/>
          <w:sz w:val="28"/>
          <w:szCs w:val="28"/>
        </w:rPr>
        <w:t>安全现状评价报告项目组长。</w:t>
      </w:r>
    </w:p>
    <w:p w14:paraId="7ECBCAE7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二、授权范围</w:t>
      </w:r>
    </w:p>
    <w:p w14:paraId="2E63AE18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1、负责主持该项目小组的组建及工作开展，行使组内人员配置:任务安排、资金使用、设备使用及管理权。</w:t>
      </w:r>
    </w:p>
    <w:p w14:paraId="29F07B70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2、负责制定项目工作计划，对服务项目作出开展、暂停、终止的意见。涉及重大隐患的及时向机构报告，并提出小组倾向意见。</w:t>
      </w:r>
    </w:p>
    <w:p w14:paraId="12BF28F5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3、负责安排对项目委托单位的意见交换、咨询、提供对策措施等服务工作。</w:t>
      </w:r>
    </w:p>
    <w:p w14:paraId="4BDF0C6C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4、负责对项目组提交的报告给出总体结论及对策措施与建议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1298091C">
      <w:pPr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0FF9CD2C">
      <w:pPr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此任命</w:t>
      </w:r>
    </w:p>
    <w:p w14:paraId="3225D250">
      <w:pPr>
        <w:ind w:firstLine="5040" w:firstLineChars="18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 w14:paraId="3C6D4505">
      <w:pPr>
        <w:ind w:firstLine="5040" w:firstLineChars="18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202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年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月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31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日</w:t>
      </w:r>
    </w:p>
    <w:p w14:paraId="0AB959C2"/>
    <w:p w14:paraId="325AD71B">
      <w:pPr>
        <w:pStyle w:val="18"/>
      </w:pPr>
    </w:p>
    <w:p w14:paraId="58A10664"/>
    <w:p w14:paraId="45B3C201">
      <w:pPr>
        <w:pStyle w:val="18"/>
      </w:pPr>
    </w:p>
    <w:p w14:paraId="4912E044"/>
    <w:p w14:paraId="5BEA6CB1">
      <w:pPr>
        <w:pStyle w:val="18"/>
      </w:pPr>
    </w:p>
    <w:p w14:paraId="25A370F1"/>
    <w:p w14:paraId="77192698">
      <w:pPr>
        <w:pStyle w:val="18"/>
      </w:pPr>
    </w:p>
    <w:p w14:paraId="77311F70"/>
    <w:p w14:paraId="304F75DF">
      <w:pPr>
        <w:pStyle w:val="18"/>
      </w:pPr>
    </w:p>
    <w:p w14:paraId="0DA3D795">
      <w:pPr>
        <w:bidi w:val="0"/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总平布置</w:t>
      </w:r>
    </w:p>
    <w:p w14:paraId="15BF58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该项目位于玉溪国家高新技术产业开发区数控机床产业园，为租赁用地及租赁标准化厂房。整个厂区呈矩形，厂区大门位于厂区北侧，主要构筑物包括生产组装车间、车间办公室等。厂区中部设置有消防通道（消防通道路宽均≥4m），中部主干道与厂外道路相通，应急救援车辆、消防车辆能通达各主要危险源点，可以满足消防及应急救援的需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本项目总平面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示意图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见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下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图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 w14:paraId="0C933E15">
      <w:pPr>
        <w:pStyle w:val="2"/>
        <w:rPr>
          <w:rFonts w:hint="eastAsia"/>
          <w:lang w:eastAsia="zh-CN"/>
        </w:rPr>
      </w:pPr>
      <w:r>
        <w:drawing>
          <wp:inline distT="0" distB="0" distL="114300" distR="114300">
            <wp:extent cx="5828030" cy="3985895"/>
            <wp:effectExtent l="12700" t="12700" r="26670" b="2476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8030" cy="398589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676D767">
      <w:pPr>
        <w:bidi w:val="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周边环境</w:t>
      </w:r>
    </w:p>
    <w:p w14:paraId="51290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eastAsia="宋体"/>
          <w:sz w:val="28"/>
          <w:szCs w:val="28"/>
          <w:highlight w:val="none"/>
          <w:lang w:eastAsia="zh-CN"/>
        </w:rPr>
      </w:pPr>
      <w:r>
        <w:rPr>
          <w:rFonts w:hint="eastAsia"/>
          <w:sz w:val="28"/>
          <w:szCs w:val="28"/>
          <w:lang w:eastAsia="zh-CN"/>
        </w:rPr>
        <w:t>玉溪正宇智能科技有限公司</w:t>
      </w:r>
      <w:r>
        <w:rPr>
          <w:sz w:val="28"/>
          <w:szCs w:val="28"/>
        </w:rPr>
        <w:t>厂址位于玉溪数控产业园，为租赁用地及租赁标准化厂房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  <w:lang w:val="en-US" w:eastAsia="zh-CN"/>
        </w:rPr>
        <w:t>项目厂房西侧与玉溪精工数控机床厂毗邻，西南侧为</w:t>
      </w:r>
      <w:r>
        <w:rPr>
          <w:rFonts w:hint="eastAsia"/>
          <w:sz w:val="28"/>
          <w:szCs w:val="28"/>
          <w:highlight w:val="none"/>
        </w:rPr>
        <w:t>研和数控机床产业园二期办公楼</w:t>
      </w:r>
      <w:r>
        <w:rPr>
          <w:rFonts w:hint="eastAsia"/>
          <w:sz w:val="28"/>
          <w:szCs w:val="28"/>
          <w:highlight w:val="none"/>
          <w:lang w:eastAsia="zh-CN"/>
        </w:rPr>
        <w:t>，</w:t>
      </w:r>
      <w:r>
        <w:rPr>
          <w:rFonts w:hint="eastAsia"/>
          <w:sz w:val="28"/>
          <w:szCs w:val="28"/>
          <w:highlight w:val="none"/>
          <w:lang w:val="en-US" w:eastAsia="zh-CN"/>
        </w:rPr>
        <w:t>东侧为众城&amp;台基数控机床有限公司、云南普菲特数控机械有限公司，北侧为山林。</w:t>
      </w:r>
      <w:r>
        <w:rPr>
          <w:rFonts w:hint="eastAsia" w:ascii="宋体" w:hAnsi="宋体" w:eastAsia="宋体" w:cs="宋体"/>
          <w:kern w:val="2"/>
          <w:sz w:val="28"/>
          <w:szCs w:val="28"/>
          <w:highlight w:val="none"/>
          <w:lang w:val="en-US" w:eastAsia="zh-CN" w:bidi="ar-SA"/>
        </w:rPr>
        <w:t>距离项目最近的高速公路为昆磨高速及213国道，厂区出入口通过园区道路与213国道相连接，距离213国道仅300m，交通便利。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厂址周围无医院、文物古迹、自然保护区、风景名胜区等环境敏感点及国家重要的政治、军事、文化设施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项目周边关系图见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下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图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。</w:t>
      </w:r>
    </w:p>
    <w:p w14:paraId="66699BA8">
      <w:pPr>
        <w:rPr>
          <w:rFonts w:ascii="宋体" w:hAnsi="宋体" w:eastAsia="宋体" w:cs="宋体"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-215900</wp:posOffset>
            </wp:positionH>
            <wp:positionV relativeFrom="paragraph">
              <wp:posOffset>184785</wp:posOffset>
            </wp:positionV>
            <wp:extent cx="5829300" cy="3234690"/>
            <wp:effectExtent l="0" t="0" r="0" b="3810"/>
            <wp:wrapTopAndBottom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323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83B5F2F">
      <w:pPr>
        <w:bidi w:val="0"/>
        <w:rPr>
          <w:rFonts w:hint="eastAsia" w:ascii="Times New Roman" w:hAnsi="Times New Roman" w:eastAsia="宋体" w:cs="Times New Roman"/>
          <w:kern w:val="2"/>
          <w:sz w:val="28"/>
          <w:szCs w:val="24"/>
          <w:lang w:val="en-US" w:eastAsia="zh-CN" w:bidi="ar-SA"/>
        </w:rPr>
      </w:pPr>
    </w:p>
    <w:p w14:paraId="12ACC861">
      <w:pPr>
        <w:bidi w:val="0"/>
        <w:rPr>
          <w:rFonts w:hint="eastAsia"/>
          <w:lang w:val="en-US" w:eastAsia="zh-CN"/>
        </w:rPr>
      </w:pPr>
    </w:p>
    <w:p w14:paraId="16AC6461">
      <w:pPr>
        <w:bidi w:val="0"/>
        <w:rPr>
          <w:rFonts w:hint="eastAsia"/>
          <w:lang w:val="en-US" w:eastAsia="zh-CN"/>
        </w:rPr>
      </w:pPr>
    </w:p>
    <w:p w14:paraId="4F46AE06">
      <w:pPr>
        <w:bidi w:val="0"/>
        <w:rPr>
          <w:rFonts w:hint="eastAsia"/>
          <w:lang w:val="en-US" w:eastAsia="zh-CN"/>
        </w:rPr>
      </w:pPr>
    </w:p>
    <w:p w14:paraId="1E246092">
      <w:pPr>
        <w:bidi w:val="0"/>
        <w:rPr>
          <w:rFonts w:hint="eastAsia"/>
          <w:lang w:val="en-US" w:eastAsia="zh-CN"/>
        </w:rPr>
      </w:pPr>
    </w:p>
    <w:p w14:paraId="70CD3A1D">
      <w:pPr>
        <w:bidi w:val="0"/>
        <w:rPr>
          <w:rFonts w:hint="eastAsia"/>
          <w:lang w:val="en-US" w:eastAsia="zh-CN"/>
        </w:rPr>
      </w:pPr>
    </w:p>
    <w:p w14:paraId="21CC2AE8">
      <w:pPr>
        <w:bidi w:val="0"/>
        <w:rPr>
          <w:rFonts w:hint="eastAsia"/>
          <w:lang w:val="en-US" w:eastAsia="zh-CN"/>
        </w:rPr>
      </w:pPr>
    </w:p>
    <w:p w14:paraId="591E15B2">
      <w:pPr>
        <w:bidi w:val="0"/>
        <w:rPr>
          <w:rFonts w:hint="eastAsia"/>
          <w:lang w:val="en-US" w:eastAsia="zh-CN"/>
        </w:rPr>
      </w:pPr>
    </w:p>
    <w:p w14:paraId="371E1CF1">
      <w:pPr>
        <w:bidi w:val="0"/>
        <w:rPr>
          <w:rFonts w:hint="eastAsia"/>
          <w:lang w:val="en-US" w:eastAsia="zh-CN"/>
        </w:rPr>
      </w:pPr>
    </w:p>
    <w:p w14:paraId="6000CD94">
      <w:pPr>
        <w:bidi w:val="0"/>
        <w:rPr>
          <w:rFonts w:hint="eastAsia"/>
          <w:lang w:val="en-US" w:eastAsia="zh-CN"/>
        </w:rPr>
      </w:pPr>
    </w:p>
    <w:p w14:paraId="08472D8F">
      <w:pPr>
        <w:bidi w:val="0"/>
        <w:rPr>
          <w:rFonts w:hint="eastAsia"/>
          <w:lang w:val="en-US" w:eastAsia="zh-CN"/>
        </w:rPr>
      </w:pPr>
    </w:p>
    <w:p w14:paraId="3F0744ED">
      <w:pPr>
        <w:bidi w:val="0"/>
        <w:rPr>
          <w:rFonts w:hint="eastAsia"/>
          <w:lang w:val="en-US" w:eastAsia="zh-CN"/>
        </w:rPr>
      </w:pPr>
    </w:p>
    <w:p w14:paraId="38D23283">
      <w:pPr>
        <w:bidi w:val="0"/>
        <w:jc w:val="left"/>
        <w:rPr>
          <w:rFonts w:hint="default"/>
          <w:lang w:val="en-US" w:eastAsia="zh-CN"/>
        </w:rPr>
      </w:pPr>
    </w:p>
    <w:p w14:paraId="71DDC5DD"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昭通市鼎科技有限公司</w:t>
      </w:r>
      <w:bookmarkStart w:id="0" w:name="_GoBack"/>
      <w:bookmarkEnd w:id="0"/>
    </w:p>
    <w:p w14:paraId="276B1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安全生产工程技术服务现场检查整改建议书</w:t>
      </w:r>
    </w:p>
    <w:p w14:paraId="22DCF30D">
      <w:pPr>
        <w:rPr>
          <w:rFonts w:hint="eastAsia" w:ascii="宋体" w:hAnsi="宋体"/>
          <w:sz w:val="28"/>
          <w:szCs w:val="28"/>
        </w:rPr>
      </w:pPr>
    </w:p>
    <w:p w14:paraId="2CEF62F3">
      <w:pPr>
        <w:rPr>
          <w:rFonts w:hint="eastAsia" w:ascii="宋体" w:hAnsi="宋体" w:cs="Times New Roman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项目（单位）：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玉溪正宇智能科技有限公司</w:t>
      </w:r>
      <w:r>
        <w:rPr>
          <w:rFonts w:hint="eastAsia" w:ascii="宋体" w:hAnsi="宋体" w:cs="Times New Roman"/>
          <w:sz w:val="28"/>
          <w:szCs w:val="28"/>
          <w:u w:val="single"/>
          <w:lang w:val="en-US" w:eastAsia="zh-CN"/>
        </w:rPr>
        <w:t xml:space="preserve"> </w:t>
      </w:r>
    </w:p>
    <w:p w14:paraId="499431E7">
      <w:pPr>
        <w:rPr>
          <w:rFonts w:hint="eastAsia" w:ascii="宋体" w:hAnsi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项目类型：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安全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现状评价 </w:t>
      </w:r>
    </w:p>
    <w:p w14:paraId="5FFA19DA">
      <w:pPr>
        <w:keepNext w:val="0"/>
        <w:keepLines w:val="0"/>
        <w:widowControl/>
        <w:suppressLineNumbers w:val="0"/>
        <w:jc w:val="left"/>
        <w:rPr>
          <w:rFonts w:hint="eastAsia" w:ascii="宋体" w:hAnsi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法定代表人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>付跃昆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</w:p>
    <w:p w14:paraId="12BFFE0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联系电话：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13759543622 </w:t>
      </w:r>
    </w:p>
    <w:p w14:paraId="5CC324AB">
      <w:pPr>
        <w:keepNext w:val="0"/>
        <w:keepLines w:val="0"/>
        <w:widowControl/>
        <w:suppressLineNumbers w:val="0"/>
        <w:jc w:val="lef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日期：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2024.12.6 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 w14:paraId="4E35B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28"/>
          <w:szCs w:val="28"/>
        </w:rPr>
      </w:pPr>
    </w:p>
    <w:p w14:paraId="4A576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现场发现的问题及建议：</w:t>
      </w:r>
    </w:p>
    <w:p w14:paraId="30464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u w:val="single"/>
          <w:vertAlign w:val="baseline"/>
          <w:lang w:val="en-US" w:eastAsia="zh-CN" w:bidi="ar-SA"/>
        </w:rPr>
        <w:t>1．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vertAlign w:val="baseline"/>
          <w:lang w:val="en-US" w:eastAsia="zh-CN"/>
        </w:rPr>
        <w:t>行车吊钩防脱钩装置缺失；</w:t>
      </w:r>
    </w:p>
    <w:p w14:paraId="15727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vertAlign w:val="baseline"/>
          <w:lang w:val="en-US" w:eastAsia="zh-CN"/>
        </w:rPr>
        <w:t>2．生产区域内灭火器未设置日常检查记录；</w:t>
      </w:r>
    </w:p>
    <w:p w14:paraId="13E5C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vertAlign w:val="baseline"/>
          <w:lang w:val="en-US" w:eastAsia="zh-CN"/>
        </w:rPr>
        <w:t>3．生产现场堆放大量可燃物（纸箱等）；</w:t>
      </w:r>
    </w:p>
    <w:p w14:paraId="3D0A2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vertAlign w:val="baseline"/>
          <w:lang w:val="en-US" w:eastAsia="zh-CN"/>
        </w:rPr>
        <w:t>4．车间内存在非生产用电动自行车。</w:t>
      </w:r>
    </w:p>
    <w:p w14:paraId="4F94B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28"/>
          <w:szCs w:val="28"/>
        </w:rPr>
      </w:pPr>
    </w:p>
    <w:p w14:paraId="331A7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28"/>
          <w:szCs w:val="28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61595</wp:posOffset>
            </wp:positionV>
            <wp:extent cx="1485900" cy="1504950"/>
            <wp:effectExtent l="0" t="0" r="0" b="6350"/>
            <wp:wrapNone/>
            <wp:docPr id="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1D4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28"/>
          <w:szCs w:val="28"/>
        </w:rPr>
      </w:pPr>
    </w:p>
    <w:p w14:paraId="164E0C26"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委托方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宋体" w:hAnsi="宋体"/>
          <w:b/>
          <w:sz w:val="28"/>
          <w:szCs w:val="28"/>
        </w:rPr>
        <w:t xml:space="preserve">现场检查人员：  </w:t>
      </w:r>
      <w:r>
        <w:drawing>
          <wp:inline distT="0" distB="0" distL="114300" distR="114300">
            <wp:extent cx="746760" cy="270510"/>
            <wp:effectExtent l="0" t="0" r="2540" b="889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rcRect t="13415"/>
                    <a:stretch>
                      <a:fillRect/>
                    </a:stretch>
                  </pic:blipFill>
                  <pic:spPr>
                    <a:xfrm>
                      <a:off x="0" y="0"/>
                      <a:ext cx="746760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b/>
          <w:sz w:val="28"/>
          <w:szCs w:val="28"/>
        </w:rPr>
        <w:t xml:space="preserve"> </w:t>
      </w:r>
      <w:r>
        <w:drawing>
          <wp:inline distT="0" distB="0" distL="114300" distR="114300">
            <wp:extent cx="716280" cy="251460"/>
            <wp:effectExtent l="0" t="0" r="0" b="190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628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b/>
          <w:sz w:val="28"/>
          <w:szCs w:val="28"/>
        </w:rPr>
        <w:t xml:space="preserve">                                                </w:t>
      </w:r>
    </w:p>
    <w:p w14:paraId="04F6E5DC">
      <w:pPr>
        <w:jc w:val="right"/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昭通市鼎安科技有限公司 </w:t>
      </w:r>
    </w:p>
    <w:p w14:paraId="2CDC539B">
      <w:pPr>
        <w:ind w:firstLine="5453" w:firstLineChars="1940"/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52452564">
      <w:pPr>
        <w:ind w:firstLine="5453" w:firstLineChars="1940"/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C8F5A84">
      <w:pPr>
        <w:ind w:firstLine="5453" w:firstLineChars="1940"/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F765F4">
      <w:pPr>
        <w:ind w:firstLine="5453" w:firstLineChars="1940"/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E18B90">
      <w:pPr>
        <w:ind w:firstLine="5453" w:firstLineChars="1940"/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BCC02F">
      <w:pPr>
        <w:ind w:firstLine="5453" w:firstLineChars="1940"/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7BF5B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200"/>
        <w:jc w:val="left"/>
        <w:textAlignment w:val="auto"/>
        <w:rPr>
          <w:rFonts w:hint="default" w:ascii="宋体" w:hAnsi="宋体" w:cs="宋体"/>
          <w:b w:val="0"/>
          <w:bCs w:val="0"/>
          <w:sz w:val="28"/>
          <w:szCs w:val="28"/>
          <w:u w:val="none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85489"/>
    <w:rsid w:val="04C50C70"/>
    <w:rsid w:val="0A2F5262"/>
    <w:rsid w:val="0B0A682C"/>
    <w:rsid w:val="0B6E1DBA"/>
    <w:rsid w:val="14E03F83"/>
    <w:rsid w:val="169A7F07"/>
    <w:rsid w:val="183879D7"/>
    <w:rsid w:val="28585489"/>
    <w:rsid w:val="2A9E7B6E"/>
    <w:rsid w:val="2B08148B"/>
    <w:rsid w:val="2DB159B8"/>
    <w:rsid w:val="3BB23479"/>
    <w:rsid w:val="47E95EED"/>
    <w:rsid w:val="5B060C94"/>
    <w:rsid w:val="5B7025B1"/>
    <w:rsid w:val="5DD76917"/>
    <w:rsid w:val="6A9A31A7"/>
    <w:rsid w:val="6B3E7FD6"/>
    <w:rsid w:val="6C006BC9"/>
    <w:rsid w:val="6E2A4350"/>
    <w:rsid w:val="6EEB2223"/>
    <w:rsid w:val="795F4D1F"/>
    <w:rsid w:val="7A0A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480" w:lineRule="exac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22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widowControl w:val="0"/>
      <w:autoSpaceDE w:val="0"/>
      <w:autoSpaceDN w:val="0"/>
      <w:adjustRightInd w:val="0"/>
    </w:pPr>
    <w:rPr>
      <w:color w:val="000000"/>
      <w:sz w:val="24"/>
      <w:szCs w:val="24"/>
      <w:lang w:val="en-US" w:eastAsia="zh-CN" w:bidi="ar-SA"/>
    </w:rPr>
  </w:style>
  <w:style w:type="paragraph" w:customStyle="1" w:styleId="3">
    <w:name w:val="纯文本1"/>
    <w:qFormat/>
    <w:uiPriority w:val="0"/>
    <w:pPr>
      <w:widowControl w:val="0"/>
      <w:adjustRightInd w:val="0"/>
      <w:spacing w:line="300" w:lineRule="auto"/>
      <w:jc w:val="both"/>
      <w:textAlignment w:val="baseline"/>
    </w:pPr>
    <w:rPr>
      <w:rFonts w:ascii="宋体" w:hAnsi="Courier New" w:eastAsia="宋体" w:cs="Times New Roman"/>
      <w:kern w:val="2"/>
      <w:sz w:val="21"/>
      <w:lang w:val="en-US" w:eastAsia="zh-CN" w:bidi="ar-SA"/>
    </w:rPr>
  </w:style>
  <w:style w:type="paragraph" w:customStyle="1" w:styleId="4">
    <w:name w:val="标题4"/>
    <w:basedOn w:val="5"/>
    <w:next w:val="6"/>
    <w:semiHidden/>
    <w:qFormat/>
    <w:uiPriority w:val="0"/>
    <w:pPr>
      <w:widowControl/>
      <w:adjustRightInd w:val="0"/>
      <w:snapToGrid w:val="0"/>
      <w:jc w:val="left"/>
    </w:pPr>
    <w:rPr>
      <w:rFonts w:eastAsia="宋体"/>
      <w:snapToGrid w:val="0"/>
      <w:color w:val="000000"/>
      <w:spacing w:val="40"/>
      <w:kern w:val="0"/>
      <w:szCs w:val="20"/>
    </w:rPr>
  </w:style>
  <w:style w:type="paragraph" w:customStyle="1" w:styleId="6">
    <w:name w:val="Char1"/>
    <w:basedOn w:val="1"/>
    <w:next w:val="7"/>
    <w:qFormat/>
    <w:uiPriority w:val="0"/>
  </w:style>
  <w:style w:type="paragraph" w:customStyle="1" w:styleId="7">
    <w:name w:val="Char"/>
    <w:basedOn w:val="8"/>
    <w:next w:val="9"/>
    <w:semiHidden/>
    <w:qFormat/>
    <w:uiPriority w:val="0"/>
    <w:pPr>
      <w:spacing w:line="480" w:lineRule="exact"/>
    </w:pPr>
    <w:rPr>
      <w:sz w:val="28"/>
    </w:rPr>
  </w:style>
  <w:style w:type="paragraph" w:styleId="8">
    <w:name w:val="Document Map"/>
    <w:basedOn w:val="1"/>
    <w:semiHidden/>
    <w:qFormat/>
    <w:uiPriority w:val="0"/>
    <w:pPr>
      <w:shd w:val="clear" w:color="auto" w:fill="000080"/>
    </w:pPr>
  </w:style>
  <w:style w:type="paragraph" w:customStyle="1" w:styleId="9">
    <w:name w:val="首行缩进加粗"/>
    <w:basedOn w:val="10"/>
    <w:next w:val="11"/>
    <w:qFormat/>
    <w:uiPriority w:val="0"/>
    <w:pPr>
      <w:spacing w:line="360" w:lineRule="auto"/>
      <w:ind w:left="482" w:firstLine="4834"/>
      <w:jc w:val="both"/>
    </w:pPr>
    <w:rPr>
      <w:rFonts w:ascii="宋体"/>
    </w:rPr>
  </w:style>
  <w:style w:type="paragraph" w:customStyle="1" w:styleId="10">
    <w:name w:val="首行缩进"/>
    <w:basedOn w:val="1"/>
    <w:qFormat/>
    <w:uiPriority w:val="0"/>
    <w:pPr>
      <w:snapToGrid w:val="0"/>
      <w:ind w:firstLine="560"/>
      <w:jc w:val="left"/>
    </w:pPr>
    <w:rPr>
      <w:rFonts w:ascii="宋体" w:cs="宋体"/>
      <w:sz w:val="28"/>
      <w:szCs w:val="20"/>
    </w:rPr>
  </w:style>
  <w:style w:type="paragraph" w:customStyle="1" w:styleId="11">
    <w:name w:val="四级条标题"/>
    <w:basedOn w:val="12"/>
    <w:next w:val="5"/>
    <w:semiHidden/>
    <w:qFormat/>
    <w:uiPriority w:val="0"/>
    <w:pPr>
      <w:tabs>
        <w:tab w:val="left" w:pos="360"/>
        <w:tab w:val="left" w:pos="903"/>
      </w:tabs>
      <w:outlineLvl w:val="5"/>
    </w:pPr>
  </w:style>
  <w:style w:type="paragraph" w:customStyle="1" w:styleId="12">
    <w:name w:val="三级条标题"/>
    <w:basedOn w:val="13"/>
    <w:next w:val="1"/>
    <w:semiHidden/>
    <w:qFormat/>
    <w:uiPriority w:val="0"/>
    <w:pPr>
      <w:tabs>
        <w:tab w:val="left" w:pos="360"/>
        <w:tab w:val="left" w:pos="903"/>
      </w:tabs>
      <w:outlineLvl w:val="4"/>
    </w:pPr>
  </w:style>
  <w:style w:type="paragraph" w:customStyle="1" w:styleId="13">
    <w:name w:val="二级条标题"/>
    <w:basedOn w:val="14"/>
    <w:next w:val="1"/>
    <w:semiHidden/>
    <w:qFormat/>
    <w:uiPriority w:val="0"/>
    <w:pPr>
      <w:tabs>
        <w:tab w:val="left" w:pos="360"/>
        <w:tab w:val="left" w:pos="903"/>
      </w:tabs>
      <w:outlineLvl w:val="3"/>
    </w:pPr>
  </w:style>
  <w:style w:type="paragraph" w:customStyle="1" w:styleId="14">
    <w:name w:val="一级条标题"/>
    <w:basedOn w:val="15"/>
    <w:next w:val="1"/>
    <w:semiHidden/>
    <w:qFormat/>
    <w:uiPriority w:val="0"/>
    <w:pPr>
      <w:tabs>
        <w:tab w:val="left" w:pos="360"/>
        <w:tab w:val="left" w:pos="903"/>
      </w:tabs>
      <w:spacing w:before="0" w:after="0"/>
      <w:ind w:left="855"/>
      <w:outlineLvl w:val="2"/>
    </w:pPr>
  </w:style>
  <w:style w:type="paragraph" w:customStyle="1" w:styleId="15">
    <w:name w:val="章标题"/>
    <w:next w:val="1"/>
    <w:semiHidden/>
    <w:qFormat/>
    <w:uiPriority w:val="0"/>
    <w:pPr>
      <w:tabs>
        <w:tab w:val="left" w:pos="903"/>
      </w:tabs>
      <w:spacing w:before="50" w:after="50"/>
      <w:ind w:left="903" w:hanging="315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styleId="16">
    <w:name w:val="Body Text"/>
    <w:basedOn w:val="1"/>
    <w:next w:val="1"/>
    <w:qFormat/>
    <w:uiPriority w:val="0"/>
    <w:rPr>
      <w:sz w:val="28"/>
    </w:rPr>
  </w:style>
  <w:style w:type="paragraph" w:styleId="17">
    <w:name w:val="Body Text Indent"/>
    <w:basedOn w:val="1"/>
    <w:qFormat/>
    <w:uiPriority w:val="0"/>
    <w:pPr>
      <w:spacing w:after="120"/>
      <w:ind w:left="420" w:leftChars="200"/>
    </w:pPr>
    <w:rPr>
      <w:rFonts w:eastAsia="MingLiU"/>
    </w:rPr>
  </w:style>
  <w:style w:type="paragraph" w:styleId="18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9">
    <w:name w:val="Body Text First Indent 2"/>
    <w:basedOn w:val="17"/>
    <w:next w:val="1"/>
    <w:unhideWhenUsed/>
    <w:qFormat/>
    <w:uiPriority w:val="99"/>
    <w:pPr>
      <w:adjustRightInd/>
      <w:spacing w:after="120" w:line="240" w:lineRule="auto"/>
      <w:ind w:left="420" w:leftChars="200" w:firstLine="420" w:firstLineChars="200"/>
      <w:jc w:val="both"/>
      <w:textAlignment w:val="auto"/>
    </w:pPr>
    <w:rPr>
      <w:kern w:val="2"/>
      <w:sz w:val="21"/>
      <w:szCs w:val="22"/>
    </w:r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781</Words>
  <Characters>809</Characters>
  <Lines>0</Lines>
  <Paragraphs>0</Paragraphs>
  <TotalTime>0</TotalTime>
  <ScaleCrop>false</ScaleCrop>
  <LinksUpToDate>false</LinksUpToDate>
  <CharactersWithSpaces>893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2024-12-06T03:22:00Z</dcterms:created>
  <dc:creator>jjjyyy</dc:creator>
  <cp:lastModifiedBy>秋夜</cp:lastModifiedBy>
  <dcterms:modified xsi:type="dcterms:W3CDTF">2025-08-25T07:23:50Z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9F30532520754145904FB4895B549202_11</vt:lpwstr>
  </property>
  <property fmtid="{D5CDD505-2E9C-101B-9397-08002B2CF9AE}" pid="4" name="KSOTemplateDocerSaveRecord">
    <vt:lpwstr>eyJoZGlkIjoiZjFmZWIzNDg2MmIzZjExOTIzMmViNTBmYTMwYTk0ZWYiLCJ1c2VySWQiOiI4MDAwNTQ5MTIifQ==</vt:lpwstr>
  </property>
</Properties>
</file>