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74467B4">
      <w:pPr>
        <w:keepNext w:val="0"/>
        <w:keepLines w:val="0"/>
        <w:pageBreakBefore w:val="0"/>
        <w:widowControl w:val="0"/>
        <w:kinsoku/>
        <w:wordWrap/>
        <w:overflowPunct/>
        <w:topLinePunct w:val="0"/>
        <w:autoSpaceDE/>
        <w:autoSpaceDN/>
        <w:bidi w:val="0"/>
        <w:adjustRightInd/>
        <w:snapToGrid w:val="0"/>
        <w:spacing w:line="520" w:lineRule="exact"/>
        <w:jc w:val="center"/>
        <w:textAlignment w:val="auto"/>
        <w:outlineLvl w:val="9"/>
        <w:rPr>
          <w:rFonts w:hint="eastAsia" w:ascii="Times New Roman" w:cs="宋体"/>
          <w:b/>
          <w:bCs/>
          <w:color w:val="auto"/>
          <w:sz w:val="32"/>
          <w:szCs w:val="32"/>
        </w:rPr>
      </w:pPr>
      <w:r>
        <w:rPr>
          <w:rFonts w:hint="eastAsia" w:ascii="Times New Roman" w:cs="宋体"/>
          <w:b/>
          <w:bCs/>
          <w:color w:val="auto"/>
          <w:sz w:val="32"/>
          <w:szCs w:val="32"/>
        </w:rPr>
        <w:t>前</w:t>
      </w:r>
      <w:r>
        <w:rPr>
          <w:rFonts w:hint="eastAsia" w:ascii="Times New Roman" w:cs="宋体"/>
          <w:b/>
          <w:bCs/>
          <w:color w:val="auto"/>
          <w:sz w:val="32"/>
          <w:szCs w:val="32"/>
          <w:lang w:val="en-US" w:eastAsia="zh-CN"/>
        </w:rPr>
        <w:t xml:space="preserve"> </w:t>
      </w:r>
      <w:r>
        <w:rPr>
          <w:rFonts w:hint="eastAsia" w:ascii="Times New Roman" w:cs="宋体"/>
          <w:b/>
          <w:bCs/>
          <w:color w:val="auto"/>
          <w:sz w:val="32"/>
          <w:szCs w:val="32"/>
        </w:rPr>
        <w:t>言</w:t>
      </w:r>
    </w:p>
    <w:p w14:paraId="2C7FA4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随着我国法制化的日趋健全和完善，安全生产监督管理体系也逐步向科学化、规范化、制度化发展，安全评价作为现代先进安全生产管理模式的主要内容之一越来越受到重视。“安全第一、预防为主、综合治理”是我们党和国家始终不渝的安全生产方针，开展安全评价正是突出“安全第一”、体现“预防为主”的一项重要工作，是“安全第一、预防为主、综合治理”安全生产方针在企业安全生产中的具体体现。安全评价不仅能有效地提高企业和生产设备的本质安全程度，而且可以为各级安全生产监督管理部门的决策和监督检查提供有力的技术支撑。</w:t>
      </w:r>
    </w:p>
    <w:p w14:paraId="483CE671">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color w:val="auto"/>
          <w:sz w:val="28"/>
          <w:szCs w:val="28"/>
          <w:lang w:val="en-US" w:eastAsia="zh-CN"/>
        </w:rPr>
      </w:pPr>
      <w:r>
        <w:rPr>
          <w:rFonts w:hint="eastAsia"/>
          <w:sz w:val="28"/>
          <w:szCs w:val="28"/>
        </w:rPr>
        <w:t>云南高机精密数控机床有限公司，成立于2022年11月，位于云南省玉溪市研和数控工业园区，是一家生产及销售车床和定制机的专业厂家，主要产品有普通卧式车床、流量型数控车床、大孔数控车床、专用定制机床等四大类、四十多种型号，三百多种规格，公司产品齐全，种类繁多，是一家专业的机床全套解决方案供应商。拥有现代化标准厂房四千余平，先进的配套加工设施，资深的管理团队及雄厚的研发实力。</w:t>
      </w:r>
    </w:p>
    <w:p w14:paraId="6BC096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根据《中华人民共和国安全生产法》等国家相关安全生产法律、法规的规定，并</w:t>
      </w:r>
      <w:r>
        <w:rPr>
          <w:rFonts w:hint="eastAsia" w:ascii="宋体" w:hAnsi="宋体" w:eastAsia="宋体" w:cs="宋体"/>
          <w:snapToGrid w:val="0"/>
          <w:color w:val="auto"/>
          <w:sz w:val="28"/>
          <w:szCs w:val="28"/>
        </w:rPr>
        <w:t>按照安全生产监督管理部门的要求，</w:t>
      </w:r>
      <w:r>
        <w:rPr>
          <w:rFonts w:hint="eastAsia" w:ascii="宋体" w:hAnsi="宋体" w:eastAsia="宋体" w:cs="宋体"/>
          <w:color w:val="auto"/>
          <w:sz w:val="28"/>
          <w:szCs w:val="28"/>
        </w:rPr>
        <w:t>该公司为</w:t>
      </w:r>
      <w:r>
        <w:rPr>
          <w:rFonts w:hint="eastAsia" w:ascii="宋体" w:hAnsi="宋体" w:eastAsia="宋体" w:cs="宋体"/>
          <w:snapToGrid w:val="0"/>
          <w:color w:val="auto"/>
          <w:sz w:val="28"/>
          <w:szCs w:val="28"/>
        </w:rPr>
        <w:t>了向安全生产监督管理部门提供安全监管依</w:t>
      </w:r>
      <w:r>
        <w:rPr>
          <w:rFonts w:hint="eastAsia" w:ascii="宋体" w:hAnsi="宋体" w:eastAsia="宋体" w:cs="宋体"/>
          <w:color w:val="auto"/>
          <w:sz w:val="28"/>
          <w:szCs w:val="28"/>
        </w:rPr>
        <w:t>据，特委</w:t>
      </w:r>
      <w:r>
        <w:rPr>
          <w:rFonts w:hint="eastAsia" w:ascii="宋体" w:hAnsi="宋体" w:eastAsia="宋体" w:cs="宋体"/>
          <w:color w:val="auto"/>
          <w:sz w:val="28"/>
          <w:szCs w:val="28"/>
          <w:highlight w:val="none"/>
        </w:rPr>
        <w:t>托</w:t>
      </w:r>
      <w:r>
        <w:rPr>
          <w:rFonts w:hint="eastAsia" w:ascii="宋体" w:hAnsi="宋体" w:eastAsia="宋体" w:cs="宋体"/>
          <w:color w:val="auto"/>
          <w:sz w:val="28"/>
          <w:szCs w:val="28"/>
          <w:highlight w:val="none"/>
          <w:lang w:eastAsia="zh-CN"/>
        </w:rPr>
        <w:t>昭通市鼎安科技有限公司</w:t>
      </w:r>
      <w:r>
        <w:rPr>
          <w:rFonts w:hint="eastAsia" w:ascii="宋体" w:hAnsi="宋体" w:eastAsia="宋体" w:cs="宋体"/>
          <w:color w:val="auto"/>
          <w:sz w:val="28"/>
          <w:szCs w:val="28"/>
        </w:rPr>
        <w:t>承担该企业</w:t>
      </w:r>
      <w:r>
        <w:rPr>
          <w:rFonts w:hint="eastAsia" w:ascii="宋体" w:hAnsi="宋体" w:eastAsia="宋体" w:cs="宋体"/>
          <w:color w:val="auto"/>
          <w:sz w:val="28"/>
          <w:szCs w:val="28"/>
          <w:lang w:val="en-US" w:eastAsia="zh-CN"/>
        </w:rPr>
        <w:t>机床制造</w:t>
      </w:r>
      <w:r>
        <w:rPr>
          <w:rFonts w:hint="eastAsia" w:ascii="宋体" w:hAnsi="宋体" w:eastAsia="宋体" w:cs="宋体"/>
          <w:color w:val="auto"/>
          <w:sz w:val="28"/>
          <w:szCs w:val="28"/>
        </w:rPr>
        <w:t>安全评价工作。</w:t>
      </w:r>
    </w:p>
    <w:p w14:paraId="1E6298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在接受</w:t>
      </w:r>
      <w:r>
        <w:rPr>
          <w:rFonts w:hint="eastAsia"/>
          <w:sz w:val="28"/>
          <w:szCs w:val="28"/>
        </w:rPr>
        <w:t>云南高机精密数控机床有限公司</w:t>
      </w:r>
      <w:r>
        <w:rPr>
          <w:rFonts w:hint="eastAsia" w:ascii="宋体" w:hAnsi="宋体" w:eastAsia="宋体" w:cs="宋体"/>
          <w:color w:val="auto"/>
          <w:sz w:val="28"/>
          <w:szCs w:val="28"/>
        </w:rPr>
        <w:t>的安全现状评价工作的委托之后，我公司立即组成安全评价组，组织评价人员投入到该项目的安全评价工作中。经过评价组现场的情况调查和资料调研，编写了本安全现状评价报告。</w:t>
      </w:r>
    </w:p>
    <w:p w14:paraId="091D50DE">
      <w:pPr>
        <w:keepNext w:val="0"/>
        <w:keepLines w:val="0"/>
        <w:pageBreakBefore w:val="0"/>
        <w:widowControl w:val="0"/>
        <w:tabs>
          <w:tab w:val="left" w:pos="2520"/>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在本安全现状评价报告的编写过程中，得到</w:t>
      </w:r>
      <w:r>
        <w:rPr>
          <w:rFonts w:hint="eastAsia" w:ascii="宋体" w:hAnsi="宋体" w:eastAsia="宋体" w:cs="宋体"/>
          <w:color w:val="auto"/>
          <w:sz w:val="28"/>
          <w:szCs w:val="28"/>
          <w:lang w:val="en-US" w:eastAsia="zh-CN"/>
        </w:rPr>
        <w:t>红塔区应急管理局、</w:t>
      </w:r>
      <w:r>
        <w:rPr>
          <w:rFonts w:hint="eastAsia"/>
          <w:sz w:val="28"/>
          <w:szCs w:val="28"/>
        </w:rPr>
        <w:t>云南高机精密数控机床有限公司</w:t>
      </w:r>
      <w:r>
        <w:rPr>
          <w:rFonts w:hint="eastAsia" w:ascii="宋体" w:hAnsi="宋体" w:eastAsia="宋体" w:cs="宋体"/>
          <w:color w:val="auto"/>
          <w:sz w:val="28"/>
          <w:szCs w:val="28"/>
        </w:rPr>
        <w:t>有关领导和技术人员的大力支持，同时引用了一些专家学者的研究成果和技术资料，在此一并表示感谢</w:t>
      </w:r>
      <w:r>
        <w:rPr>
          <w:rFonts w:hint="eastAsia" w:ascii="宋体" w:hAnsi="宋体" w:eastAsia="宋体" w:cs="宋体"/>
          <w:color w:val="auto"/>
          <w:sz w:val="28"/>
          <w:szCs w:val="28"/>
          <w:lang w:eastAsia="zh-CN"/>
        </w:rPr>
        <w:t>！</w:t>
      </w:r>
    </w:p>
    <w:p w14:paraId="7ABAC1D9">
      <w:pPr>
        <w:bidi w:val="0"/>
        <w:rPr>
          <w:rFonts w:hint="eastAsia" w:ascii="宋体" w:hAnsi="Times New Roman" w:eastAsia="宋体" w:cs="Times New Roman"/>
          <w:sz w:val="24"/>
          <w:lang w:val="en-US" w:eastAsia="zh-CN" w:bidi="ar-SA"/>
        </w:rPr>
      </w:pPr>
    </w:p>
    <w:p w14:paraId="2D878901">
      <w:pPr>
        <w:bidi w:val="0"/>
        <w:jc w:val="left"/>
        <w:rPr>
          <w:rFonts w:hint="eastAsia"/>
          <w:lang w:val="en-US" w:eastAsia="zh-CN"/>
        </w:rPr>
      </w:pPr>
    </w:p>
    <w:p w14:paraId="79078C21">
      <w:pPr>
        <w:bidi w:val="0"/>
        <w:jc w:val="left"/>
        <w:rPr>
          <w:rFonts w:hint="eastAsia"/>
          <w:lang w:val="en-US" w:eastAsia="zh-CN"/>
        </w:rPr>
      </w:pPr>
    </w:p>
    <w:p w14:paraId="67D07528">
      <w:pPr>
        <w:bidi w:val="0"/>
        <w:jc w:val="left"/>
        <w:rPr>
          <w:rFonts w:hint="eastAsia"/>
          <w:lang w:val="en-US" w:eastAsia="zh-CN"/>
        </w:rPr>
      </w:pPr>
    </w:p>
    <w:p w14:paraId="580EE39D">
      <w:pPr>
        <w:bidi w:val="0"/>
        <w:jc w:val="left"/>
        <w:rPr>
          <w:rFonts w:hint="eastAsia"/>
          <w:lang w:val="en-US" w:eastAsia="zh-CN"/>
        </w:rPr>
      </w:pPr>
    </w:p>
    <w:p w14:paraId="0570792E">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lang w:val="en-US" w:eastAsia="zh-CN"/>
        </w:rPr>
      </w:pPr>
      <w:r>
        <w:rPr>
          <w:rFonts w:hint="eastAsia" w:ascii="宋体" w:hAnsi="宋体" w:eastAsia="宋体" w:cs="宋体"/>
          <w:b/>
          <w:bCs/>
          <w:lang w:val="en-US" w:eastAsia="zh-CN"/>
        </w:rPr>
        <w:t>评价人员及现场照片</w:t>
      </w:r>
    </w:p>
    <w:p w14:paraId="482DBA4B">
      <w:pPr>
        <w:bidi w:val="0"/>
        <w:jc w:val="left"/>
        <w:rPr>
          <w:rFonts w:hint="eastAsia"/>
          <w:lang w:val="en-US" w:eastAsia="zh-CN"/>
        </w:rPr>
      </w:pP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96"/>
        <w:gridCol w:w="4272"/>
      </w:tblGrid>
      <w:tr w14:paraId="546FC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39" w:hRule="atLeast"/>
          <w:jc w:val="center"/>
        </w:trPr>
        <w:tc>
          <w:tcPr>
            <w:tcW w:w="4273" w:type="dxa"/>
            <w:vAlign w:val="center"/>
          </w:tcPr>
          <w:p w14:paraId="6C7D5BDE">
            <w:pPr>
              <w:rPr>
                <w:rFonts w:hint="eastAsia" w:eastAsia="宋体"/>
                <w:vertAlign w:val="baseline"/>
                <w:lang w:eastAsia="zh-CN"/>
              </w:rPr>
            </w:pPr>
            <w:r>
              <w:rPr>
                <w:rFonts w:hint="eastAsia" w:eastAsia="宋体"/>
                <w:vertAlign w:val="baseline"/>
                <w:lang w:eastAsia="zh-CN"/>
              </w:rPr>
              <w:drawing>
                <wp:inline distT="0" distB="0" distL="114935" distR="114935">
                  <wp:extent cx="2576195" cy="2110105"/>
                  <wp:effectExtent l="0" t="0" r="14605" b="8255"/>
                  <wp:docPr id="2" name="图片 2" descr="高机精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高机精2"/>
                          <pic:cNvPicPr>
                            <a:picLocks noChangeAspect="1"/>
                          </pic:cNvPicPr>
                        </pic:nvPicPr>
                        <pic:blipFill>
                          <a:blip r:embed="rId8"/>
                          <a:stretch>
                            <a:fillRect/>
                          </a:stretch>
                        </pic:blipFill>
                        <pic:spPr>
                          <a:xfrm>
                            <a:off x="0" y="0"/>
                            <a:ext cx="2576195" cy="2110105"/>
                          </a:xfrm>
                          <a:prstGeom prst="rect">
                            <a:avLst/>
                          </a:prstGeom>
                        </pic:spPr>
                      </pic:pic>
                    </a:graphicData>
                  </a:graphic>
                </wp:inline>
              </w:drawing>
            </w:r>
          </w:p>
        </w:tc>
        <w:tc>
          <w:tcPr>
            <w:tcW w:w="4249" w:type="dxa"/>
            <w:vAlign w:val="center"/>
          </w:tcPr>
          <w:p w14:paraId="145931BB">
            <w:pPr>
              <w:rPr>
                <w:rFonts w:hint="eastAsia" w:eastAsia="宋体"/>
                <w:vertAlign w:val="baseline"/>
                <w:lang w:eastAsia="zh-CN"/>
              </w:rPr>
            </w:pPr>
            <w:r>
              <w:rPr>
                <w:rFonts w:hint="eastAsia" w:eastAsia="宋体"/>
                <w:vertAlign w:val="baseline"/>
                <w:lang w:eastAsia="zh-CN"/>
              </w:rPr>
              <w:drawing>
                <wp:inline distT="0" distB="0" distL="114935" distR="114935">
                  <wp:extent cx="2567940" cy="2059305"/>
                  <wp:effectExtent l="0" t="0" r="7620" b="13335"/>
                  <wp:docPr id="15" name="图片 15" descr="b4f6d002534c0de055ed5371de24fe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b4f6d002534c0de055ed5371de24fe9"/>
                          <pic:cNvPicPr>
                            <a:picLocks noChangeAspect="1"/>
                          </pic:cNvPicPr>
                        </pic:nvPicPr>
                        <pic:blipFill>
                          <a:blip r:embed="rId9"/>
                          <a:stretch>
                            <a:fillRect/>
                          </a:stretch>
                        </pic:blipFill>
                        <pic:spPr>
                          <a:xfrm>
                            <a:off x="0" y="0"/>
                            <a:ext cx="2567940" cy="2059305"/>
                          </a:xfrm>
                          <a:prstGeom prst="rect">
                            <a:avLst/>
                          </a:prstGeom>
                        </pic:spPr>
                      </pic:pic>
                    </a:graphicData>
                  </a:graphic>
                </wp:inline>
              </w:drawing>
            </w:r>
          </w:p>
        </w:tc>
      </w:tr>
      <w:tr w14:paraId="22F7A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3" w:type="dxa"/>
            <w:shd w:val="clear" w:color="auto" w:fill="auto"/>
            <w:vAlign w:val="top"/>
          </w:tcPr>
          <w:p w14:paraId="1BA6FB2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kern w:val="2"/>
                <w:sz w:val="24"/>
                <w:szCs w:val="24"/>
                <w:vertAlign w:val="baseline"/>
                <w:lang w:val="en-US" w:eastAsia="zh-CN" w:bidi="ar-SA"/>
              </w:rPr>
            </w:pPr>
            <w:r>
              <w:rPr>
                <w:rFonts w:hint="default" w:ascii="宋体" w:hAnsi="宋体" w:cs="宋体"/>
                <w:sz w:val="24"/>
                <w:szCs w:val="24"/>
                <w:vertAlign w:val="baseline"/>
                <w:lang w:val="en-US" w:eastAsia="zh-CN"/>
              </w:rPr>
              <w:t>评价师现场踏勘照片（</w:t>
            </w:r>
            <w:r>
              <w:rPr>
                <w:rFonts w:hint="eastAsia" w:hAnsi="宋体" w:cs="宋体"/>
                <w:sz w:val="24"/>
                <w:szCs w:val="24"/>
                <w:vertAlign w:val="baseline"/>
                <w:lang w:val="en-US" w:eastAsia="zh-CN"/>
              </w:rPr>
              <w:t>右</w:t>
            </w:r>
            <w:r>
              <w:rPr>
                <w:rFonts w:hint="default" w:ascii="宋体" w:hAnsi="宋体" w:cs="宋体"/>
                <w:sz w:val="24"/>
                <w:szCs w:val="24"/>
                <w:vertAlign w:val="baseline"/>
                <w:lang w:val="en-US" w:eastAsia="zh-CN"/>
              </w:rPr>
              <w:t>边李毅雄）</w:t>
            </w:r>
          </w:p>
        </w:tc>
        <w:tc>
          <w:tcPr>
            <w:tcW w:w="4249" w:type="dxa"/>
            <w:shd w:val="clear" w:color="auto" w:fill="auto"/>
            <w:vAlign w:val="top"/>
          </w:tcPr>
          <w:p w14:paraId="0A0DF0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kern w:val="2"/>
                <w:sz w:val="24"/>
                <w:szCs w:val="24"/>
                <w:vertAlign w:val="baseline"/>
                <w:lang w:val="en-US" w:eastAsia="zh-CN" w:bidi="ar-SA"/>
              </w:rPr>
            </w:pPr>
            <w:r>
              <w:rPr>
                <w:rFonts w:hint="eastAsia" w:ascii="宋体" w:hAnsi="宋体" w:cs="宋体"/>
                <w:color w:val="auto"/>
                <w:sz w:val="24"/>
                <w:szCs w:val="24"/>
                <w:vertAlign w:val="baseline"/>
                <w:lang w:val="en-US" w:eastAsia="zh-CN"/>
              </w:rPr>
              <w:t>评价师现场踏勘照片（</w:t>
            </w:r>
            <w:r>
              <w:rPr>
                <w:rFonts w:hint="eastAsia" w:hAnsi="宋体" w:cs="宋体"/>
                <w:color w:val="auto"/>
                <w:sz w:val="24"/>
                <w:szCs w:val="24"/>
                <w:vertAlign w:val="baseline"/>
                <w:lang w:val="en-US" w:eastAsia="zh-CN"/>
              </w:rPr>
              <w:t>左</w:t>
            </w:r>
            <w:r>
              <w:rPr>
                <w:rFonts w:hint="eastAsia" w:ascii="宋体" w:hAnsi="宋体" w:cs="宋体"/>
                <w:color w:val="auto"/>
                <w:sz w:val="24"/>
                <w:szCs w:val="24"/>
                <w:vertAlign w:val="baseline"/>
                <w:lang w:val="en-US" w:eastAsia="zh-CN"/>
              </w:rPr>
              <w:t>边周忠菊）</w:t>
            </w:r>
          </w:p>
        </w:tc>
      </w:tr>
      <w:tr w14:paraId="08A84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2" w:hRule="atLeast"/>
          <w:jc w:val="center"/>
        </w:trPr>
        <w:tc>
          <w:tcPr>
            <w:tcW w:w="4273" w:type="dxa"/>
            <w:shd w:val="clear" w:color="auto" w:fill="auto"/>
            <w:vAlign w:val="top"/>
          </w:tcPr>
          <w:p w14:paraId="0CA9B003">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宋体" w:hAnsi="宋体" w:cs="宋体"/>
                <w:sz w:val="24"/>
                <w:szCs w:val="24"/>
                <w:vertAlign w:val="baseline"/>
                <w:lang w:val="en-US" w:eastAsia="zh-CN"/>
              </w:rPr>
            </w:pPr>
            <w:r>
              <w:rPr>
                <w:rFonts w:hint="default" w:ascii="宋体" w:hAnsi="宋体" w:cs="宋体"/>
                <w:sz w:val="24"/>
                <w:szCs w:val="24"/>
                <w:vertAlign w:val="baseline"/>
                <w:lang w:val="en-US" w:eastAsia="zh-CN"/>
              </w:rPr>
              <w:drawing>
                <wp:inline distT="0" distB="0" distL="114935" distR="114935">
                  <wp:extent cx="2565400" cy="1884045"/>
                  <wp:effectExtent l="0" t="0" r="10160" b="5715"/>
                  <wp:docPr id="18" name="图片 18" descr="P20241029-173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P20241029-173033"/>
                          <pic:cNvPicPr>
                            <a:picLocks noChangeAspect="1"/>
                          </pic:cNvPicPr>
                        </pic:nvPicPr>
                        <pic:blipFill>
                          <a:blip r:embed="rId10"/>
                          <a:srcRect b="5876"/>
                          <a:stretch>
                            <a:fillRect/>
                          </a:stretch>
                        </pic:blipFill>
                        <pic:spPr>
                          <a:xfrm>
                            <a:off x="0" y="0"/>
                            <a:ext cx="2565400" cy="1884045"/>
                          </a:xfrm>
                          <a:prstGeom prst="rect">
                            <a:avLst/>
                          </a:prstGeom>
                        </pic:spPr>
                      </pic:pic>
                    </a:graphicData>
                  </a:graphic>
                </wp:inline>
              </w:drawing>
            </w:r>
          </w:p>
        </w:tc>
        <w:tc>
          <w:tcPr>
            <w:tcW w:w="4249" w:type="dxa"/>
            <w:shd w:val="clear" w:color="auto" w:fill="auto"/>
            <w:vAlign w:val="top"/>
          </w:tcPr>
          <w:p w14:paraId="613EE385">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cs="宋体"/>
                <w:color w:val="auto"/>
                <w:sz w:val="24"/>
                <w:szCs w:val="24"/>
                <w:vertAlign w:val="baseline"/>
                <w:lang w:val="en-US" w:eastAsia="zh-CN"/>
              </w:rPr>
            </w:pPr>
            <w:r>
              <w:rPr>
                <w:rFonts w:hint="eastAsia" w:ascii="宋体" w:hAnsi="宋体" w:cs="宋体"/>
                <w:color w:val="auto"/>
                <w:sz w:val="24"/>
                <w:szCs w:val="24"/>
                <w:vertAlign w:val="baseline"/>
                <w:lang w:val="en-US" w:eastAsia="zh-CN"/>
              </w:rPr>
              <w:drawing>
                <wp:inline distT="0" distB="0" distL="114300" distR="114300">
                  <wp:extent cx="2552065" cy="1905635"/>
                  <wp:effectExtent l="0" t="0" r="8255" b="14605"/>
                  <wp:docPr id="19" name="图片 19" descr="P20241029-173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P20241029-173116"/>
                          <pic:cNvPicPr>
                            <a:picLocks noChangeAspect="1"/>
                          </pic:cNvPicPr>
                        </pic:nvPicPr>
                        <pic:blipFill>
                          <a:blip r:embed="rId11"/>
                          <a:srcRect b="5051"/>
                          <a:stretch>
                            <a:fillRect/>
                          </a:stretch>
                        </pic:blipFill>
                        <pic:spPr>
                          <a:xfrm>
                            <a:off x="0" y="0"/>
                            <a:ext cx="2552065" cy="1905635"/>
                          </a:xfrm>
                          <a:prstGeom prst="rect">
                            <a:avLst/>
                          </a:prstGeom>
                        </pic:spPr>
                      </pic:pic>
                    </a:graphicData>
                  </a:graphic>
                </wp:inline>
              </w:drawing>
            </w:r>
          </w:p>
        </w:tc>
      </w:tr>
      <w:tr w14:paraId="133AD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3" w:type="dxa"/>
            <w:shd w:val="clear" w:color="auto" w:fill="auto"/>
            <w:vAlign w:val="top"/>
          </w:tcPr>
          <w:p w14:paraId="736FFCD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cs="宋体"/>
                <w:sz w:val="24"/>
                <w:szCs w:val="24"/>
                <w:vertAlign w:val="baseline"/>
                <w:lang w:val="en-US" w:eastAsia="zh-CN"/>
              </w:rPr>
            </w:pPr>
            <w:r>
              <w:rPr>
                <w:rFonts w:hint="eastAsia" w:hAnsi="宋体" w:cs="宋体"/>
                <w:sz w:val="24"/>
                <w:szCs w:val="24"/>
                <w:vertAlign w:val="baseline"/>
                <w:lang w:val="en-US" w:eastAsia="zh-CN"/>
              </w:rPr>
              <w:t>厂区外道路</w:t>
            </w:r>
          </w:p>
        </w:tc>
        <w:tc>
          <w:tcPr>
            <w:tcW w:w="4249" w:type="dxa"/>
            <w:shd w:val="clear" w:color="auto" w:fill="auto"/>
            <w:vAlign w:val="top"/>
          </w:tcPr>
          <w:p w14:paraId="5D5A3593">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cs="宋体"/>
                <w:color w:val="auto"/>
                <w:sz w:val="24"/>
                <w:szCs w:val="24"/>
                <w:vertAlign w:val="baseline"/>
                <w:lang w:val="en-US" w:eastAsia="zh-CN"/>
              </w:rPr>
            </w:pPr>
            <w:r>
              <w:rPr>
                <w:rFonts w:hint="eastAsia" w:hAnsi="宋体" w:cs="宋体"/>
                <w:sz w:val="24"/>
                <w:szCs w:val="24"/>
                <w:vertAlign w:val="baseline"/>
                <w:lang w:val="en-US" w:eastAsia="zh-CN"/>
              </w:rPr>
              <w:t>厂区外道路</w:t>
            </w:r>
          </w:p>
        </w:tc>
      </w:tr>
      <w:tr w14:paraId="4D371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2" w:hRule="atLeast"/>
          <w:jc w:val="center"/>
        </w:trPr>
        <w:tc>
          <w:tcPr>
            <w:tcW w:w="4273" w:type="dxa"/>
          </w:tcPr>
          <w:p w14:paraId="5C4D5704">
            <w:pPr>
              <w:rPr>
                <w:rFonts w:hint="eastAsia" w:eastAsia="宋体"/>
                <w:vertAlign w:val="baseline"/>
                <w:lang w:eastAsia="zh-CN"/>
              </w:rPr>
            </w:pPr>
            <w:r>
              <w:rPr>
                <w:rFonts w:hint="eastAsia" w:eastAsia="宋体"/>
                <w:vertAlign w:val="baseline"/>
                <w:lang w:eastAsia="zh-CN"/>
              </w:rPr>
              <w:drawing>
                <wp:inline distT="0" distB="0" distL="114935" distR="114935">
                  <wp:extent cx="2556510" cy="1917065"/>
                  <wp:effectExtent l="0" t="0" r="3810" b="3175"/>
                  <wp:docPr id="3" name="图片 3" descr="P20241029-171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P20241029-171252"/>
                          <pic:cNvPicPr>
                            <a:picLocks noChangeAspect="1"/>
                          </pic:cNvPicPr>
                        </pic:nvPicPr>
                        <pic:blipFill>
                          <a:blip r:embed="rId12"/>
                          <a:srcRect b="6014"/>
                          <a:stretch>
                            <a:fillRect/>
                          </a:stretch>
                        </pic:blipFill>
                        <pic:spPr>
                          <a:xfrm>
                            <a:off x="0" y="0"/>
                            <a:ext cx="2556510" cy="1917065"/>
                          </a:xfrm>
                          <a:prstGeom prst="rect">
                            <a:avLst/>
                          </a:prstGeom>
                        </pic:spPr>
                      </pic:pic>
                    </a:graphicData>
                  </a:graphic>
                </wp:inline>
              </w:drawing>
            </w:r>
          </w:p>
        </w:tc>
        <w:tc>
          <w:tcPr>
            <w:tcW w:w="4249" w:type="dxa"/>
          </w:tcPr>
          <w:p w14:paraId="19E77650">
            <w:pPr>
              <w:rPr>
                <w:rFonts w:hint="eastAsia" w:eastAsia="宋体"/>
                <w:vertAlign w:val="baseline"/>
                <w:lang w:eastAsia="zh-CN"/>
              </w:rPr>
            </w:pPr>
            <w:r>
              <w:rPr>
                <w:rFonts w:hint="eastAsia" w:eastAsia="宋体"/>
                <w:vertAlign w:val="baseline"/>
                <w:lang w:eastAsia="zh-CN"/>
              </w:rPr>
              <w:drawing>
                <wp:inline distT="0" distB="0" distL="114300" distR="114300">
                  <wp:extent cx="2540000" cy="1923415"/>
                  <wp:effectExtent l="0" t="0" r="5080" b="12065"/>
                  <wp:docPr id="4" name="图片 4" descr="P20241029-17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P20241029-173553"/>
                          <pic:cNvPicPr>
                            <a:picLocks noChangeAspect="1"/>
                          </pic:cNvPicPr>
                        </pic:nvPicPr>
                        <pic:blipFill>
                          <a:blip r:embed="rId13"/>
                          <a:srcRect b="7033"/>
                          <a:stretch>
                            <a:fillRect/>
                          </a:stretch>
                        </pic:blipFill>
                        <pic:spPr>
                          <a:xfrm>
                            <a:off x="0" y="0"/>
                            <a:ext cx="2540000" cy="1923415"/>
                          </a:xfrm>
                          <a:prstGeom prst="rect">
                            <a:avLst/>
                          </a:prstGeom>
                        </pic:spPr>
                      </pic:pic>
                    </a:graphicData>
                  </a:graphic>
                </wp:inline>
              </w:drawing>
            </w:r>
          </w:p>
        </w:tc>
      </w:tr>
      <w:tr w14:paraId="11EC9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3" w:type="dxa"/>
          </w:tcPr>
          <w:p w14:paraId="29D0D020">
            <w:pPr>
              <w:jc w:val="center"/>
              <w:rPr>
                <w:rFonts w:hint="default" w:eastAsia="宋体"/>
                <w:vertAlign w:val="baseline"/>
                <w:lang w:val="en-US" w:eastAsia="zh-CN"/>
              </w:rPr>
            </w:pPr>
            <w:r>
              <w:rPr>
                <w:rFonts w:hint="eastAsia"/>
                <w:vertAlign w:val="baseline"/>
                <w:lang w:val="en-US" w:eastAsia="zh-CN"/>
              </w:rPr>
              <w:t>厂房大门</w:t>
            </w:r>
          </w:p>
        </w:tc>
        <w:tc>
          <w:tcPr>
            <w:tcW w:w="4249" w:type="dxa"/>
          </w:tcPr>
          <w:p w14:paraId="2A89A100">
            <w:pPr>
              <w:jc w:val="center"/>
              <w:rPr>
                <w:rFonts w:hint="default" w:eastAsia="宋体"/>
                <w:vertAlign w:val="baseline"/>
                <w:lang w:val="en-US" w:eastAsia="zh-CN"/>
              </w:rPr>
            </w:pPr>
            <w:r>
              <w:rPr>
                <w:rFonts w:hint="eastAsia"/>
                <w:vertAlign w:val="baseline"/>
                <w:lang w:val="en-US" w:eastAsia="zh-CN"/>
              </w:rPr>
              <w:t>车间办公室</w:t>
            </w:r>
          </w:p>
        </w:tc>
      </w:tr>
      <w:tr w14:paraId="66F5A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2" w:hRule="atLeast"/>
          <w:jc w:val="center"/>
        </w:trPr>
        <w:tc>
          <w:tcPr>
            <w:tcW w:w="4273" w:type="dxa"/>
          </w:tcPr>
          <w:p w14:paraId="2FE61C21">
            <w:pPr>
              <w:rPr>
                <w:rFonts w:hint="eastAsia" w:eastAsia="宋体"/>
                <w:vertAlign w:val="baseline"/>
                <w:lang w:eastAsia="zh-CN"/>
              </w:rPr>
            </w:pPr>
            <w:r>
              <w:rPr>
                <w:rFonts w:hint="eastAsia" w:eastAsia="宋体"/>
                <w:vertAlign w:val="baseline"/>
                <w:lang w:eastAsia="zh-CN"/>
              </w:rPr>
              <w:drawing>
                <wp:inline distT="0" distB="0" distL="114935" distR="114935">
                  <wp:extent cx="2577465" cy="1823720"/>
                  <wp:effectExtent l="0" t="0" r="13335" b="5080"/>
                  <wp:docPr id="5" name="图片 5" descr="P20241029-172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P20241029-172757"/>
                          <pic:cNvPicPr>
                            <a:picLocks noChangeAspect="1"/>
                          </pic:cNvPicPr>
                        </pic:nvPicPr>
                        <pic:blipFill>
                          <a:blip r:embed="rId14"/>
                          <a:srcRect b="5709"/>
                          <a:stretch>
                            <a:fillRect/>
                          </a:stretch>
                        </pic:blipFill>
                        <pic:spPr>
                          <a:xfrm>
                            <a:off x="0" y="0"/>
                            <a:ext cx="2577465" cy="1823720"/>
                          </a:xfrm>
                          <a:prstGeom prst="rect">
                            <a:avLst/>
                          </a:prstGeom>
                        </pic:spPr>
                      </pic:pic>
                    </a:graphicData>
                  </a:graphic>
                </wp:inline>
              </w:drawing>
            </w:r>
          </w:p>
        </w:tc>
        <w:tc>
          <w:tcPr>
            <w:tcW w:w="4249" w:type="dxa"/>
          </w:tcPr>
          <w:p w14:paraId="53173631">
            <w:pPr>
              <w:rPr>
                <w:rFonts w:hint="eastAsia" w:eastAsia="宋体"/>
                <w:vertAlign w:val="baseline"/>
                <w:lang w:eastAsia="zh-CN"/>
              </w:rPr>
            </w:pPr>
            <w:r>
              <w:rPr>
                <w:rFonts w:hint="eastAsia" w:eastAsia="宋体"/>
                <w:vertAlign w:val="baseline"/>
                <w:lang w:eastAsia="zh-CN"/>
              </w:rPr>
              <w:drawing>
                <wp:inline distT="0" distB="0" distL="114935" distR="114935">
                  <wp:extent cx="2565400" cy="1826895"/>
                  <wp:effectExtent l="0" t="0" r="10160" b="1905"/>
                  <wp:docPr id="6" name="图片 6" descr="P20241029-1728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P20241029-172815"/>
                          <pic:cNvPicPr>
                            <a:picLocks noChangeAspect="1"/>
                          </pic:cNvPicPr>
                        </pic:nvPicPr>
                        <pic:blipFill>
                          <a:blip r:embed="rId15"/>
                          <a:srcRect t="15213" b="7409"/>
                          <a:stretch>
                            <a:fillRect/>
                          </a:stretch>
                        </pic:blipFill>
                        <pic:spPr>
                          <a:xfrm>
                            <a:off x="0" y="0"/>
                            <a:ext cx="2565400" cy="1826895"/>
                          </a:xfrm>
                          <a:prstGeom prst="rect">
                            <a:avLst/>
                          </a:prstGeom>
                        </pic:spPr>
                      </pic:pic>
                    </a:graphicData>
                  </a:graphic>
                </wp:inline>
              </w:drawing>
            </w:r>
          </w:p>
        </w:tc>
      </w:tr>
      <w:tr w14:paraId="6171DA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3" w:type="dxa"/>
          </w:tcPr>
          <w:p w14:paraId="23D6ACE2">
            <w:pPr>
              <w:jc w:val="center"/>
              <w:rPr>
                <w:rFonts w:hint="eastAsia" w:eastAsia="宋体"/>
                <w:vertAlign w:val="baseline"/>
                <w:lang w:val="en-US" w:eastAsia="zh-CN"/>
              </w:rPr>
            </w:pPr>
            <w:r>
              <w:rPr>
                <w:rFonts w:hint="eastAsia"/>
                <w:vertAlign w:val="baseline"/>
                <w:lang w:val="en-US" w:eastAsia="zh-CN"/>
              </w:rPr>
              <w:t>车间仓库</w:t>
            </w:r>
          </w:p>
        </w:tc>
        <w:tc>
          <w:tcPr>
            <w:tcW w:w="4249" w:type="dxa"/>
          </w:tcPr>
          <w:p w14:paraId="49A6E99A">
            <w:pPr>
              <w:jc w:val="center"/>
              <w:rPr>
                <w:rFonts w:hint="default" w:eastAsia="宋体"/>
                <w:vertAlign w:val="baseline"/>
                <w:lang w:val="en-US" w:eastAsia="zh-CN"/>
              </w:rPr>
            </w:pPr>
            <w:r>
              <w:rPr>
                <w:rFonts w:hint="eastAsia"/>
                <w:vertAlign w:val="baseline"/>
                <w:lang w:val="en-US" w:eastAsia="zh-CN"/>
              </w:rPr>
              <w:t>机床展示区</w:t>
            </w:r>
          </w:p>
        </w:tc>
      </w:tr>
      <w:tr w14:paraId="1311E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0" w:hRule="atLeast"/>
          <w:jc w:val="center"/>
        </w:trPr>
        <w:tc>
          <w:tcPr>
            <w:tcW w:w="4273" w:type="dxa"/>
          </w:tcPr>
          <w:p w14:paraId="6255E008">
            <w:pPr>
              <w:rPr>
                <w:rFonts w:hint="eastAsia" w:eastAsia="宋体"/>
                <w:vertAlign w:val="baseline"/>
                <w:lang w:eastAsia="zh-CN"/>
              </w:rPr>
            </w:pPr>
            <w:r>
              <w:rPr>
                <w:rFonts w:hint="eastAsia" w:eastAsia="宋体"/>
                <w:vertAlign w:val="baseline"/>
                <w:lang w:eastAsia="zh-CN"/>
              </w:rPr>
              <w:drawing>
                <wp:inline distT="0" distB="0" distL="114300" distR="114300">
                  <wp:extent cx="2569845" cy="1832610"/>
                  <wp:effectExtent l="0" t="0" r="5715" b="11430"/>
                  <wp:docPr id="9" name="图片 9" descr="fba1ca9fa48820e94d789ac462eec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fba1ca9fa48820e94d789ac462eece2"/>
                          <pic:cNvPicPr>
                            <a:picLocks noChangeAspect="1"/>
                          </pic:cNvPicPr>
                        </pic:nvPicPr>
                        <pic:blipFill>
                          <a:blip r:embed="rId16"/>
                          <a:stretch>
                            <a:fillRect/>
                          </a:stretch>
                        </pic:blipFill>
                        <pic:spPr>
                          <a:xfrm>
                            <a:off x="0" y="0"/>
                            <a:ext cx="2569845" cy="1832610"/>
                          </a:xfrm>
                          <a:prstGeom prst="rect">
                            <a:avLst/>
                          </a:prstGeom>
                        </pic:spPr>
                      </pic:pic>
                    </a:graphicData>
                  </a:graphic>
                </wp:inline>
              </w:drawing>
            </w:r>
          </w:p>
        </w:tc>
        <w:tc>
          <w:tcPr>
            <w:tcW w:w="4249" w:type="dxa"/>
          </w:tcPr>
          <w:p w14:paraId="5F6E12C3">
            <w:pPr>
              <w:rPr>
                <w:rFonts w:hint="eastAsia" w:eastAsia="宋体"/>
                <w:vertAlign w:val="baseline"/>
                <w:lang w:eastAsia="zh-CN"/>
              </w:rPr>
            </w:pPr>
            <w:r>
              <w:rPr>
                <w:rFonts w:hint="eastAsia" w:eastAsia="宋体"/>
                <w:vertAlign w:val="baseline"/>
                <w:lang w:eastAsia="zh-CN"/>
              </w:rPr>
              <w:drawing>
                <wp:inline distT="0" distB="0" distL="114300" distR="114300">
                  <wp:extent cx="2528570" cy="1852295"/>
                  <wp:effectExtent l="0" t="0" r="1270" b="6985"/>
                  <wp:docPr id="10" name="图片 10" descr="7837c23f61c1aad942f993a42937d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7837c23f61c1aad942f993a42937d91"/>
                          <pic:cNvPicPr>
                            <a:picLocks noChangeAspect="1"/>
                          </pic:cNvPicPr>
                        </pic:nvPicPr>
                        <pic:blipFill>
                          <a:blip r:embed="rId17"/>
                          <a:stretch>
                            <a:fillRect/>
                          </a:stretch>
                        </pic:blipFill>
                        <pic:spPr>
                          <a:xfrm>
                            <a:off x="0" y="0"/>
                            <a:ext cx="2528570" cy="1852295"/>
                          </a:xfrm>
                          <a:prstGeom prst="rect">
                            <a:avLst/>
                          </a:prstGeom>
                        </pic:spPr>
                      </pic:pic>
                    </a:graphicData>
                  </a:graphic>
                </wp:inline>
              </w:drawing>
            </w:r>
          </w:p>
        </w:tc>
      </w:tr>
      <w:tr w14:paraId="43A6F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73" w:type="dxa"/>
          </w:tcPr>
          <w:p w14:paraId="010F0D79">
            <w:pPr>
              <w:jc w:val="center"/>
              <w:rPr>
                <w:rFonts w:hint="eastAsia" w:eastAsia="宋体"/>
                <w:vertAlign w:val="baseline"/>
                <w:lang w:val="en-US" w:eastAsia="zh-CN"/>
              </w:rPr>
            </w:pPr>
            <w:r>
              <w:rPr>
                <w:rFonts w:hint="eastAsia"/>
                <w:vertAlign w:val="baseline"/>
                <w:lang w:val="en-US" w:eastAsia="zh-CN"/>
              </w:rPr>
              <w:t>生产区</w:t>
            </w:r>
          </w:p>
        </w:tc>
        <w:tc>
          <w:tcPr>
            <w:tcW w:w="4249" w:type="dxa"/>
          </w:tcPr>
          <w:p w14:paraId="52F97B05">
            <w:pPr>
              <w:jc w:val="center"/>
              <w:rPr>
                <w:rFonts w:hint="default" w:eastAsia="宋体"/>
                <w:vertAlign w:val="baseline"/>
                <w:lang w:val="en-US" w:eastAsia="zh-CN"/>
              </w:rPr>
            </w:pPr>
            <w:r>
              <w:rPr>
                <w:rFonts w:hint="eastAsia"/>
                <w:vertAlign w:val="baseline"/>
                <w:lang w:val="en-US" w:eastAsia="zh-CN"/>
              </w:rPr>
              <w:t xml:space="preserve"> 部件存放区</w:t>
            </w:r>
          </w:p>
        </w:tc>
      </w:tr>
      <w:tr w14:paraId="09E8B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0" w:hRule="atLeast"/>
          <w:jc w:val="center"/>
        </w:trPr>
        <w:tc>
          <w:tcPr>
            <w:tcW w:w="4273" w:type="dxa"/>
          </w:tcPr>
          <w:p w14:paraId="7B38F8CD">
            <w:pPr>
              <w:rPr>
                <w:rFonts w:hint="eastAsia" w:eastAsia="宋体"/>
                <w:vertAlign w:val="baseline"/>
                <w:lang w:eastAsia="zh-CN"/>
              </w:rPr>
            </w:pPr>
            <w:r>
              <w:rPr>
                <w:rFonts w:hint="eastAsia" w:eastAsia="宋体"/>
                <w:vertAlign w:val="baseline"/>
                <w:lang w:eastAsia="zh-CN"/>
              </w:rPr>
              <w:drawing>
                <wp:inline distT="0" distB="0" distL="114300" distR="114300">
                  <wp:extent cx="2565400" cy="1861185"/>
                  <wp:effectExtent l="0" t="0" r="10160" b="13335"/>
                  <wp:docPr id="20" name="图片 20" descr="P20241029-172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P20241029-172223"/>
                          <pic:cNvPicPr>
                            <a:picLocks noChangeAspect="1"/>
                          </pic:cNvPicPr>
                        </pic:nvPicPr>
                        <pic:blipFill>
                          <a:blip r:embed="rId18"/>
                          <a:srcRect b="7643"/>
                          <a:stretch>
                            <a:fillRect/>
                          </a:stretch>
                        </pic:blipFill>
                        <pic:spPr>
                          <a:xfrm>
                            <a:off x="0" y="0"/>
                            <a:ext cx="2565400" cy="1861185"/>
                          </a:xfrm>
                          <a:prstGeom prst="rect">
                            <a:avLst/>
                          </a:prstGeom>
                        </pic:spPr>
                      </pic:pic>
                    </a:graphicData>
                  </a:graphic>
                </wp:inline>
              </w:drawing>
            </w:r>
          </w:p>
        </w:tc>
        <w:tc>
          <w:tcPr>
            <w:tcW w:w="4249" w:type="dxa"/>
          </w:tcPr>
          <w:p w14:paraId="67ABF095">
            <w:pPr>
              <w:rPr>
                <w:rFonts w:hint="eastAsia" w:eastAsia="宋体"/>
                <w:vertAlign w:val="baseline"/>
                <w:lang w:eastAsia="zh-CN"/>
              </w:rPr>
            </w:pPr>
            <w:r>
              <w:rPr>
                <w:rFonts w:hint="eastAsia" w:eastAsia="宋体"/>
                <w:vertAlign w:val="baseline"/>
                <w:lang w:eastAsia="zh-CN"/>
              </w:rPr>
              <w:drawing>
                <wp:inline distT="0" distB="0" distL="114300" distR="114300">
                  <wp:extent cx="2545715" cy="1840230"/>
                  <wp:effectExtent l="0" t="0" r="14605" b="3810"/>
                  <wp:docPr id="11" name="图片 11" descr="P20241029-172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P20241029-172621"/>
                          <pic:cNvPicPr>
                            <a:picLocks noChangeAspect="1"/>
                          </pic:cNvPicPr>
                        </pic:nvPicPr>
                        <pic:blipFill>
                          <a:blip r:embed="rId19"/>
                          <a:srcRect b="5138"/>
                          <a:stretch>
                            <a:fillRect/>
                          </a:stretch>
                        </pic:blipFill>
                        <pic:spPr>
                          <a:xfrm>
                            <a:off x="0" y="0"/>
                            <a:ext cx="2545715" cy="1840230"/>
                          </a:xfrm>
                          <a:prstGeom prst="rect">
                            <a:avLst/>
                          </a:prstGeom>
                        </pic:spPr>
                      </pic:pic>
                    </a:graphicData>
                  </a:graphic>
                </wp:inline>
              </w:drawing>
            </w:r>
          </w:p>
        </w:tc>
      </w:tr>
      <w:tr w14:paraId="049E7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4273" w:type="dxa"/>
          </w:tcPr>
          <w:p w14:paraId="7BA45A3A">
            <w:pPr>
              <w:jc w:val="center"/>
              <w:rPr>
                <w:rFonts w:hint="default" w:eastAsia="宋体"/>
                <w:vertAlign w:val="baseline"/>
                <w:lang w:val="en-US" w:eastAsia="zh-CN"/>
              </w:rPr>
            </w:pPr>
            <w:r>
              <w:rPr>
                <w:rFonts w:hint="eastAsia"/>
                <w:vertAlign w:val="baseline"/>
                <w:lang w:val="en-US" w:eastAsia="zh-CN"/>
              </w:rPr>
              <w:t>装配区</w:t>
            </w:r>
          </w:p>
        </w:tc>
        <w:tc>
          <w:tcPr>
            <w:tcW w:w="4249" w:type="dxa"/>
          </w:tcPr>
          <w:p w14:paraId="5ECF9214">
            <w:pPr>
              <w:jc w:val="center"/>
              <w:rPr>
                <w:rFonts w:hint="default" w:eastAsia="宋体"/>
                <w:vertAlign w:val="baseline"/>
                <w:lang w:val="en-US" w:eastAsia="zh-CN"/>
              </w:rPr>
            </w:pPr>
            <w:r>
              <w:rPr>
                <w:rFonts w:hint="eastAsia"/>
                <w:vertAlign w:val="baseline"/>
                <w:lang w:val="en-US" w:eastAsia="zh-CN"/>
              </w:rPr>
              <w:t>装配区</w:t>
            </w:r>
          </w:p>
        </w:tc>
      </w:tr>
      <w:tr w14:paraId="2D7D1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2" w:hRule="atLeast"/>
          <w:jc w:val="center"/>
        </w:trPr>
        <w:tc>
          <w:tcPr>
            <w:tcW w:w="4273" w:type="dxa"/>
          </w:tcPr>
          <w:p w14:paraId="1F070576">
            <w:pPr>
              <w:rPr>
                <w:rFonts w:hint="eastAsia" w:eastAsia="宋体"/>
                <w:vertAlign w:val="baseline"/>
                <w:lang w:eastAsia="zh-CN"/>
              </w:rPr>
            </w:pPr>
            <w:r>
              <w:rPr>
                <w:rFonts w:hint="eastAsia" w:eastAsia="宋体"/>
                <w:vertAlign w:val="baseline"/>
                <w:lang w:eastAsia="zh-CN"/>
              </w:rPr>
              <w:drawing>
                <wp:inline distT="0" distB="0" distL="114300" distR="114300">
                  <wp:extent cx="2560320" cy="1913890"/>
                  <wp:effectExtent l="0" t="0" r="0" b="6350"/>
                  <wp:docPr id="17" name="图片 17" descr="ecd7485ba6d1e5373d110332454f7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ecd7485ba6d1e5373d110332454f736"/>
                          <pic:cNvPicPr>
                            <a:picLocks noChangeAspect="1"/>
                          </pic:cNvPicPr>
                        </pic:nvPicPr>
                        <pic:blipFill>
                          <a:blip r:embed="rId20"/>
                          <a:stretch>
                            <a:fillRect/>
                          </a:stretch>
                        </pic:blipFill>
                        <pic:spPr>
                          <a:xfrm>
                            <a:off x="0" y="0"/>
                            <a:ext cx="2560320" cy="1913890"/>
                          </a:xfrm>
                          <a:prstGeom prst="rect">
                            <a:avLst/>
                          </a:prstGeom>
                        </pic:spPr>
                      </pic:pic>
                    </a:graphicData>
                  </a:graphic>
                </wp:inline>
              </w:drawing>
            </w:r>
          </w:p>
        </w:tc>
        <w:tc>
          <w:tcPr>
            <w:tcW w:w="4249" w:type="dxa"/>
          </w:tcPr>
          <w:p w14:paraId="2D1C32CB">
            <w:pPr>
              <w:rPr>
                <w:rFonts w:hint="eastAsia" w:eastAsia="宋体"/>
                <w:vertAlign w:val="baseline"/>
                <w:lang w:eastAsia="zh-CN"/>
              </w:rPr>
            </w:pPr>
            <w:r>
              <w:rPr>
                <w:rFonts w:hint="eastAsia" w:eastAsia="宋体"/>
                <w:vertAlign w:val="baseline"/>
                <w:lang w:eastAsia="zh-CN"/>
              </w:rPr>
              <w:drawing>
                <wp:inline distT="0" distB="0" distL="114300" distR="114300">
                  <wp:extent cx="2571750" cy="1950720"/>
                  <wp:effectExtent l="0" t="0" r="3810" b="0"/>
                  <wp:docPr id="14" name="图片 14" descr="P20241029-1739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P20241029-173930"/>
                          <pic:cNvPicPr>
                            <a:picLocks noChangeAspect="1"/>
                          </pic:cNvPicPr>
                        </pic:nvPicPr>
                        <pic:blipFill>
                          <a:blip r:embed="rId21"/>
                          <a:srcRect b="6701"/>
                          <a:stretch>
                            <a:fillRect/>
                          </a:stretch>
                        </pic:blipFill>
                        <pic:spPr>
                          <a:xfrm>
                            <a:off x="0" y="0"/>
                            <a:ext cx="2571750" cy="1950720"/>
                          </a:xfrm>
                          <a:prstGeom prst="rect">
                            <a:avLst/>
                          </a:prstGeom>
                        </pic:spPr>
                      </pic:pic>
                    </a:graphicData>
                  </a:graphic>
                </wp:inline>
              </w:drawing>
            </w:r>
          </w:p>
        </w:tc>
      </w:tr>
      <w:tr w14:paraId="747BE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4273" w:type="dxa"/>
          </w:tcPr>
          <w:p w14:paraId="0FC92680">
            <w:pPr>
              <w:jc w:val="center"/>
              <w:rPr>
                <w:rFonts w:hint="eastAsia" w:eastAsia="宋体"/>
                <w:vertAlign w:val="baseline"/>
                <w:lang w:val="en-US" w:eastAsia="zh-CN"/>
              </w:rPr>
            </w:pPr>
            <w:r>
              <w:rPr>
                <w:rFonts w:hint="eastAsia"/>
                <w:vertAlign w:val="baseline"/>
                <w:lang w:val="en-US" w:eastAsia="zh-CN"/>
              </w:rPr>
              <w:t>储气罐</w:t>
            </w:r>
          </w:p>
        </w:tc>
        <w:tc>
          <w:tcPr>
            <w:tcW w:w="4249" w:type="dxa"/>
          </w:tcPr>
          <w:p w14:paraId="7970E612">
            <w:pPr>
              <w:jc w:val="center"/>
              <w:rPr>
                <w:rFonts w:hint="default" w:eastAsia="宋体"/>
                <w:vertAlign w:val="baseline"/>
                <w:lang w:val="en-US" w:eastAsia="zh-CN"/>
              </w:rPr>
            </w:pPr>
            <w:r>
              <w:rPr>
                <w:rFonts w:hint="eastAsia"/>
                <w:vertAlign w:val="baseline"/>
                <w:lang w:val="en-US" w:eastAsia="zh-CN"/>
              </w:rPr>
              <w:t>空气压缩机</w:t>
            </w:r>
          </w:p>
        </w:tc>
      </w:tr>
    </w:tbl>
    <w:p w14:paraId="341539E4">
      <w:pPr>
        <w:pageBreakBefore w:val="0"/>
        <w:widowControl w:val="0"/>
        <w:kinsoku/>
        <w:wordWrap/>
        <w:overflowPunct/>
        <w:topLinePunct w:val="0"/>
        <w:autoSpaceDE/>
        <w:autoSpaceDN/>
        <w:bidi w:val="0"/>
        <w:spacing w:line="600" w:lineRule="exact"/>
        <w:jc w:val="center"/>
        <w:textAlignment w:val="auto"/>
        <w:outlineLvl w:val="0"/>
        <w:rPr>
          <w:rFonts w:hint="eastAsia" w:ascii="宋体" w:hAnsi="宋体" w:eastAsia="宋体" w:cs="宋体"/>
          <w:b/>
          <w:bCs/>
          <w:color w:val="auto"/>
          <w:sz w:val="36"/>
          <w:szCs w:val="36"/>
        </w:rPr>
        <w:sectPr>
          <w:headerReference r:id="rId3" w:type="default"/>
          <w:footerReference r:id="rId4" w:type="default"/>
          <w:pgSz w:w="11906" w:h="16838"/>
          <w:pgMar w:top="1417" w:right="1134" w:bottom="1134" w:left="1587" w:header="851" w:footer="992" w:gutter="0"/>
          <w:pgNumType w:fmt="numberInDash"/>
          <w:cols w:space="0" w:num="1"/>
          <w:rtlGutter w:val="0"/>
          <w:docGrid w:type="lines" w:linePitch="312" w:charSpace="0"/>
        </w:sectPr>
      </w:pPr>
      <w:bookmarkStart w:id="270" w:name="_GoBack"/>
      <w:bookmarkEnd w:id="270"/>
      <w:bookmarkStart w:id="0" w:name="_Toc25683"/>
    </w:p>
    <w:sdt>
      <w:sdtPr>
        <w:rPr>
          <w:rFonts w:ascii="宋体" w:hAnsi="宋体" w:eastAsia="宋体" w:cs="Times New Roman"/>
          <w:sz w:val="21"/>
          <w:lang w:val="en-US" w:eastAsia="zh-CN" w:bidi="ar-SA"/>
        </w:rPr>
        <w:id w:val="147459279"/>
        <w15:color w:val="DBDBDB"/>
        <w:docPartObj>
          <w:docPartGallery w:val="Table of Contents"/>
          <w:docPartUnique/>
        </w:docPartObj>
      </w:sdtPr>
      <w:sdtEndPr>
        <w:rPr>
          <w:rFonts w:hint="eastAsia" w:ascii="宋体" w:hAnsi="宋体" w:eastAsia="宋体" w:cs="宋体"/>
          <w:bCs/>
          <w:color w:val="auto"/>
          <w:sz w:val="24"/>
          <w:szCs w:val="36"/>
          <w:lang w:val="en-US" w:eastAsia="zh-CN" w:bidi="ar-SA"/>
        </w:rPr>
      </w:sdtEndPr>
      <w:sdtContent>
        <w:p w14:paraId="5BA7373C">
          <w:pPr>
            <w:spacing w:before="0" w:beforeLines="0" w:after="0" w:afterLines="0" w:line="240" w:lineRule="auto"/>
            <w:ind w:left="0" w:leftChars="0" w:right="0" w:rightChars="0" w:firstLine="0" w:firstLineChars="0"/>
            <w:jc w:val="center"/>
            <w:rPr>
              <w:b/>
              <w:bCs/>
              <w:sz w:val="30"/>
              <w:szCs w:val="30"/>
            </w:rPr>
          </w:pPr>
          <w:r>
            <w:rPr>
              <w:rFonts w:ascii="宋体" w:hAnsi="宋体" w:eastAsia="宋体"/>
              <w:b/>
              <w:bCs/>
              <w:sz w:val="30"/>
              <w:szCs w:val="30"/>
            </w:rPr>
            <w:t>目</w:t>
          </w:r>
          <w:r>
            <w:rPr>
              <w:rFonts w:hint="eastAsia" w:ascii="宋体" w:hAnsi="宋体" w:eastAsia="宋体"/>
              <w:b/>
              <w:bCs/>
              <w:sz w:val="30"/>
              <w:szCs w:val="30"/>
              <w:lang w:val="en-US" w:eastAsia="zh-CN"/>
            </w:rPr>
            <w:t xml:space="preserve"> </w:t>
          </w:r>
          <w:r>
            <w:rPr>
              <w:rFonts w:ascii="宋体" w:hAnsi="宋体" w:eastAsia="宋体"/>
              <w:b/>
              <w:bCs/>
              <w:sz w:val="30"/>
              <w:szCs w:val="30"/>
            </w:rPr>
            <w:t>录</w:t>
          </w:r>
        </w:p>
        <w:p w14:paraId="11E0CAF7">
          <w:pPr>
            <w:pStyle w:val="12"/>
            <w:tabs>
              <w:tab w:val="right" w:leader="dot" w:pos="9185"/>
            </w:tabs>
          </w:pPr>
          <w:r>
            <w:rPr>
              <w:rFonts w:hint="eastAsia" w:ascii="宋体" w:hAnsi="宋体" w:eastAsia="宋体" w:cs="宋体"/>
              <w:b/>
              <w:bCs/>
              <w:color w:val="auto"/>
              <w:sz w:val="36"/>
              <w:szCs w:val="36"/>
            </w:rPr>
            <w:fldChar w:fldCharType="begin"/>
          </w:r>
          <w:r>
            <w:rPr>
              <w:rFonts w:hint="eastAsia" w:ascii="宋体" w:hAnsi="宋体" w:eastAsia="宋体" w:cs="宋体"/>
              <w:b/>
              <w:bCs/>
              <w:color w:val="auto"/>
              <w:sz w:val="36"/>
              <w:szCs w:val="36"/>
            </w:rPr>
            <w:instrText xml:space="preserve">TOC \o "1-3" \h \u </w:instrText>
          </w:r>
          <w:r>
            <w:rPr>
              <w:rFonts w:hint="eastAsia" w:ascii="宋体" w:hAnsi="宋体" w:eastAsia="宋体" w:cs="宋体"/>
              <w:b/>
              <w:bCs/>
              <w:color w:val="auto"/>
              <w:sz w:val="36"/>
              <w:szCs w:val="36"/>
            </w:rPr>
            <w:fldChar w:fldCharType="separate"/>
          </w: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_Toc20428 </w:instrText>
          </w:r>
          <w:r>
            <w:rPr>
              <w:rFonts w:hint="eastAsia" w:ascii="宋体" w:hAnsi="宋体" w:eastAsia="宋体" w:cs="宋体"/>
              <w:bCs/>
              <w:szCs w:val="36"/>
            </w:rPr>
            <w:fldChar w:fldCharType="separate"/>
          </w:r>
          <w:r>
            <w:rPr>
              <w:rFonts w:hint="eastAsia" w:ascii="宋体" w:hAnsi="宋体" w:eastAsia="宋体" w:cs="宋体"/>
              <w:bCs/>
              <w:szCs w:val="36"/>
            </w:rPr>
            <w:t>第1章</w:t>
          </w:r>
          <w:r>
            <w:rPr>
              <w:rFonts w:hint="eastAsia" w:hAnsi="宋体" w:cs="宋体"/>
              <w:bCs/>
              <w:szCs w:val="36"/>
              <w:lang w:val="en-US" w:eastAsia="zh-CN"/>
            </w:rPr>
            <w:t xml:space="preserve"> </w:t>
          </w:r>
          <w:r>
            <w:rPr>
              <w:rFonts w:hint="eastAsia" w:ascii="宋体" w:hAnsi="宋体" w:eastAsia="宋体" w:cs="宋体"/>
              <w:bCs/>
              <w:szCs w:val="36"/>
            </w:rPr>
            <w:t>编制说明</w:t>
          </w:r>
          <w:r>
            <w:tab/>
          </w:r>
          <w:r>
            <w:fldChar w:fldCharType="begin"/>
          </w:r>
          <w:r>
            <w:instrText xml:space="preserve"> PAGEREF _Toc20428 \h </w:instrText>
          </w:r>
          <w:r>
            <w:fldChar w:fldCharType="separate"/>
          </w:r>
          <w:r>
            <w:t>- 1 -</w:t>
          </w:r>
          <w:r>
            <w:fldChar w:fldCharType="end"/>
          </w:r>
          <w:r>
            <w:rPr>
              <w:rFonts w:hint="eastAsia" w:ascii="宋体" w:hAnsi="宋体" w:eastAsia="宋体" w:cs="宋体"/>
              <w:bCs/>
              <w:color w:val="auto"/>
              <w:szCs w:val="36"/>
            </w:rPr>
            <w:fldChar w:fldCharType="end"/>
          </w:r>
        </w:p>
        <w:p w14:paraId="03004C17">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_Toc31465 </w:instrText>
          </w:r>
          <w:r>
            <w:rPr>
              <w:rFonts w:hint="eastAsia" w:ascii="宋体" w:hAnsi="宋体" w:eastAsia="宋体" w:cs="宋体"/>
              <w:bCs/>
              <w:szCs w:val="36"/>
            </w:rPr>
            <w:fldChar w:fldCharType="separate"/>
          </w:r>
          <w:r>
            <w:rPr>
              <w:rFonts w:hint="eastAsia" w:ascii="宋体" w:hAnsi="宋体" w:eastAsia="宋体" w:cs="宋体"/>
              <w:kern w:val="0"/>
              <w:szCs w:val="30"/>
            </w:rPr>
            <w:t>1.1安全评价的目的</w:t>
          </w:r>
          <w:r>
            <w:tab/>
          </w:r>
          <w:r>
            <w:fldChar w:fldCharType="begin"/>
          </w:r>
          <w:r>
            <w:instrText xml:space="preserve"> PAGEREF _Toc31465 \h </w:instrText>
          </w:r>
          <w:r>
            <w:fldChar w:fldCharType="separate"/>
          </w:r>
          <w:r>
            <w:t>- 1 -</w:t>
          </w:r>
          <w:r>
            <w:fldChar w:fldCharType="end"/>
          </w:r>
          <w:r>
            <w:rPr>
              <w:rFonts w:hint="eastAsia" w:ascii="宋体" w:hAnsi="宋体" w:eastAsia="宋体" w:cs="宋体"/>
              <w:bCs/>
              <w:color w:val="auto"/>
              <w:szCs w:val="36"/>
            </w:rPr>
            <w:fldChar w:fldCharType="end"/>
          </w:r>
        </w:p>
        <w:p w14:paraId="109417FC">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_Toc10617 </w:instrText>
          </w:r>
          <w:r>
            <w:rPr>
              <w:rFonts w:hint="eastAsia" w:ascii="宋体" w:hAnsi="宋体" w:eastAsia="宋体" w:cs="宋体"/>
              <w:bCs/>
              <w:szCs w:val="36"/>
            </w:rPr>
            <w:fldChar w:fldCharType="separate"/>
          </w:r>
          <w:r>
            <w:rPr>
              <w:rFonts w:hint="eastAsia" w:ascii="宋体" w:hAnsi="宋体" w:eastAsia="宋体" w:cs="宋体"/>
              <w:bCs/>
              <w:kern w:val="0"/>
              <w:szCs w:val="30"/>
            </w:rPr>
            <w:t>1.2安全评价依据</w:t>
          </w:r>
          <w:r>
            <w:tab/>
          </w:r>
          <w:r>
            <w:fldChar w:fldCharType="begin"/>
          </w:r>
          <w:r>
            <w:instrText xml:space="preserve"> PAGEREF _Toc10617 \h </w:instrText>
          </w:r>
          <w:r>
            <w:fldChar w:fldCharType="separate"/>
          </w:r>
          <w:r>
            <w:t>- 1 -</w:t>
          </w:r>
          <w:r>
            <w:fldChar w:fldCharType="end"/>
          </w:r>
          <w:r>
            <w:rPr>
              <w:rFonts w:hint="eastAsia" w:ascii="宋体" w:hAnsi="宋体" w:eastAsia="宋体" w:cs="宋体"/>
              <w:bCs/>
              <w:color w:val="auto"/>
              <w:szCs w:val="36"/>
            </w:rPr>
            <w:fldChar w:fldCharType="end"/>
          </w:r>
        </w:p>
        <w:p w14:paraId="2F38D387">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_Toc20480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w:t>
          </w:r>
          <w:r>
            <w:rPr>
              <w:rFonts w:hint="eastAsia" w:ascii="宋体" w:hAnsi="宋体" w:eastAsia="宋体" w:cs="宋体"/>
              <w:kern w:val="0"/>
              <w:szCs w:val="28"/>
            </w:rPr>
            <w:t>.</w:t>
          </w:r>
          <w:r>
            <w:rPr>
              <w:rFonts w:hint="eastAsia" w:ascii="宋体" w:hAnsi="宋体" w:eastAsia="宋体" w:cs="宋体"/>
              <w:snapToGrid w:val="0"/>
              <w:kern w:val="0"/>
              <w:szCs w:val="28"/>
            </w:rPr>
            <w:t>2</w:t>
          </w:r>
          <w:r>
            <w:rPr>
              <w:rFonts w:hint="eastAsia" w:ascii="宋体" w:hAnsi="宋体" w:eastAsia="宋体" w:cs="宋体"/>
              <w:kern w:val="0"/>
              <w:szCs w:val="28"/>
            </w:rPr>
            <w:t>.</w:t>
          </w:r>
          <w:r>
            <w:rPr>
              <w:rFonts w:hint="eastAsia" w:ascii="宋体" w:hAnsi="宋体" w:eastAsia="宋体" w:cs="宋体"/>
              <w:snapToGrid w:val="0"/>
              <w:kern w:val="0"/>
              <w:szCs w:val="28"/>
            </w:rPr>
            <w:t>1法律法规</w:t>
          </w:r>
          <w:r>
            <w:tab/>
          </w:r>
          <w:r>
            <w:fldChar w:fldCharType="begin"/>
          </w:r>
          <w:r>
            <w:instrText xml:space="preserve"> PAGEREF _Toc20480 \h </w:instrText>
          </w:r>
          <w:r>
            <w:fldChar w:fldCharType="separate"/>
          </w:r>
          <w:r>
            <w:t>- 1 -</w:t>
          </w:r>
          <w:r>
            <w:fldChar w:fldCharType="end"/>
          </w:r>
          <w:r>
            <w:rPr>
              <w:rFonts w:hint="eastAsia" w:ascii="宋体" w:hAnsi="宋体" w:eastAsia="宋体" w:cs="宋体"/>
              <w:bCs/>
              <w:color w:val="auto"/>
              <w:szCs w:val="36"/>
            </w:rPr>
            <w:fldChar w:fldCharType="end"/>
          </w:r>
        </w:p>
        <w:p w14:paraId="073F8F7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_Toc16370 </w:instrText>
          </w:r>
          <w:r>
            <w:rPr>
              <w:rFonts w:hint="eastAsia" w:ascii="宋体" w:hAnsi="宋体" w:eastAsia="宋体" w:cs="宋体"/>
              <w:bCs/>
              <w:szCs w:val="36"/>
            </w:rPr>
            <w:fldChar w:fldCharType="separate"/>
          </w:r>
          <w:r>
            <w:rPr>
              <w:rFonts w:hint="eastAsia" w:hAnsi="宋体"/>
              <w:snapToGrid w:val="0"/>
              <w:kern w:val="0"/>
              <w:szCs w:val="28"/>
            </w:rPr>
            <w:t>1.2.2行政法规</w:t>
          </w:r>
          <w:r>
            <w:tab/>
          </w:r>
          <w:r>
            <w:fldChar w:fldCharType="begin"/>
          </w:r>
          <w:r>
            <w:instrText xml:space="preserve"> PAGEREF _Toc16370 \h </w:instrText>
          </w:r>
          <w:r>
            <w:fldChar w:fldCharType="separate"/>
          </w:r>
          <w:r>
            <w:t>- 2 -</w:t>
          </w:r>
          <w:r>
            <w:fldChar w:fldCharType="end"/>
          </w:r>
          <w:r>
            <w:rPr>
              <w:rFonts w:hint="eastAsia" w:ascii="宋体" w:hAnsi="宋体" w:eastAsia="宋体" w:cs="宋体"/>
              <w:bCs/>
              <w:color w:val="auto"/>
              <w:szCs w:val="36"/>
            </w:rPr>
            <w:fldChar w:fldCharType="end"/>
          </w:r>
        </w:p>
        <w:p w14:paraId="27A3D2E5">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_Toc5883 </w:instrText>
          </w:r>
          <w:r>
            <w:rPr>
              <w:rFonts w:hint="eastAsia" w:ascii="宋体" w:hAnsi="宋体" w:eastAsia="宋体" w:cs="宋体"/>
              <w:bCs/>
              <w:szCs w:val="36"/>
            </w:rPr>
            <w:fldChar w:fldCharType="separate"/>
          </w:r>
          <w:r>
            <w:rPr>
              <w:rFonts w:hint="eastAsia" w:hAnsi="宋体"/>
              <w:snapToGrid w:val="0"/>
              <w:kern w:val="0"/>
              <w:szCs w:val="28"/>
            </w:rPr>
            <w:t>1.2.3部门规章</w:t>
          </w:r>
          <w:r>
            <w:tab/>
          </w:r>
          <w:r>
            <w:fldChar w:fldCharType="begin"/>
          </w:r>
          <w:r>
            <w:instrText xml:space="preserve"> PAGEREF _Toc5883 \h </w:instrText>
          </w:r>
          <w:r>
            <w:fldChar w:fldCharType="separate"/>
          </w:r>
          <w:r>
            <w:t>- 3 -</w:t>
          </w:r>
          <w:r>
            <w:fldChar w:fldCharType="end"/>
          </w:r>
          <w:r>
            <w:rPr>
              <w:rFonts w:hint="eastAsia" w:ascii="宋体" w:hAnsi="宋体" w:eastAsia="宋体" w:cs="宋体"/>
              <w:bCs/>
              <w:color w:val="auto"/>
              <w:szCs w:val="36"/>
            </w:rPr>
            <w:fldChar w:fldCharType="end"/>
          </w:r>
        </w:p>
        <w:p w14:paraId="38900759">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_Toc26866 </w:instrText>
          </w:r>
          <w:r>
            <w:rPr>
              <w:rFonts w:hint="eastAsia" w:ascii="宋体" w:hAnsi="宋体" w:eastAsia="宋体" w:cs="宋体"/>
              <w:bCs/>
              <w:szCs w:val="36"/>
            </w:rPr>
            <w:fldChar w:fldCharType="separate"/>
          </w:r>
          <w:r>
            <w:rPr>
              <w:rFonts w:hint="eastAsia" w:ascii="宋体" w:hAnsi="宋体" w:eastAsia="宋体" w:cs="宋体"/>
              <w:bCs/>
              <w:snapToGrid w:val="0"/>
              <w:kern w:val="0"/>
              <w:szCs w:val="28"/>
            </w:rPr>
            <w:t>1.2.4地方有关法规文件</w:t>
          </w:r>
          <w:r>
            <w:tab/>
          </w:r>
          <w:r>
            <w:fldChar w:fldCharType="begin"/>
          </w:r>
          <w:r>
            <w:instrText xml:space="preserve"> PAGEREF _Toc26866 \h </w:instrText>
          </w:r>
          <w:r>
            <w:fldChar w:fldCharType="separate"/>
          </w:r>
          <w:r>
            <w:t>- 6 -</w:t>
          </w:r>
          <w:r>
            <w:fldChar w:fldCharType="end"/>
          </w:r>
          <w:r>
            <w:rPr>
              <w:rFonts w:hint="eastAsia" w:ascii="宋体" w:hAnsi="宋体" w:eastAsia="宋体" w:cs="宋体"/>
              <w:bCs/>
              <w:color w:val="auto"/>
              <w:szCs w:val="36"/>
            </w:rPr>
            <w:fldChar w:fldCharType="end"/>
          </w:r>
        </w:p>
        <w:p w14:paraId="36792035">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_Toc19143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1.2.5国家标准</w:t>
          </w:r>
          <w:r>
            <w:tab/>
          </w:r>
          <w:r>
            <w:fldChar w:fldCharType="begin"/>
          </w:r>
          <w:r>
            <w:instrText xml:space="preserve"> PAGEREF _Toc19143 \h </w:instrText>
          </w:r>
          <w:r>
            <w:fldChar w:fldCharType="separate"/>
          </w:r>
          <w:r>
            <w:t>- 7 -</w:t>
          </w:r>
          <w:r>
            <w:fldChar w:fldCharType="end"/>
          </w:r>
          <w:r>
            <w:rPr>
              <w:rFonts w:hint="eastAsia" w:ascii="宋体" w:hAnsi="宋体" w:eastAsia="宋体" w:cs="宋体"/>
              <w:bCs/>
              <w:color w:val="auto"/>
              <w:szCs w:val="36"/>
            </w:rPr>
            <w:fldChar w:fldCharType="end"/>
          </w:r>
        </w:p>
        <w:p w14:paraId="5A5DED7D">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_Toc18255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1.2.6行业标准</w:t>
          </w:r>
          <w:r>
            <w:tab/>
          </w:r>
          <w:r>
            <w:fldChar w:fldCharType="begin"/>
          </w:r>
          <w:r>
            <w:instrText xml:space="preserve"> PAGEREF _Toc18255 \h </w:instrText>
          </w:r>
          <w:r>
            <w:fldChar w:fldCharType="separate"/>
          </w:r>
          <w:r>
            <w:t>- 9 -</w:t>
          </w:r>
          <w:r>
            <w:fldChar w:fldCharType="end"/>
          </w:r>
          <w:r>
            <w:rPr>
              <w:rFonts w:hint="eastAsia" w:ascii="宋体" w:hAnsi="宋体" w:eastAsia="宋体" w:cs="宋体"/>
              <w:bCs/>
              <w:color w:val="auto"/>
              <w:szCs w:val="36"/>
            </w:rPr>
            <w:fldChar w:fldCharType="end"/>
          </w:r>
        </w:p>
        <w:p w14:paraId="7F3919D9">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_Toc12307 </w:instrText>
          </w:r>
          <w:r>
            <w:rPr>
              <w:rFonts w:hint="eastAsia" w:ascii="宋体" w:hAnsi="宋体" w:eastAsia="宋体" w:cs="宋体"/>
              <w:bCs/>
              <w:szCs w:val="36"/>
            </w:rPr>
            <w:fldChar w:fldCharType="separate"/>
          </w:r>
          <w:r>
            <w:rPr>
              <w:rFonts w:hint="eastAsia" w:ascii="宋体" w:hAnsi="宋体" w:eastAsia="宋体" w:cs="宋体"/>
              <w:snapToGrid w:val="0"/>
              <w:kern w:val="0"/>
              <w:szCs w:val="28"/>
            </w:rPr>
            <w:t>1.2.7其他相关参考资料</w:t>
          </w:r>
          <w:r>
            <w:tab/>
          </w:r>
          <w:r>
            <w:fldChar w:fldCharType="begin"/>
          </w:r>
          <w:r>
            <w:instrText xml:space="preserve"> PAGEREF _Toc12307 \h </w:instrText>
          </w:r>
          <w:r>
            <w:fldChar w:fldCharType="separate"/>
          </w:r>
          <w:r>
            <w:t>- 10 -</w:t>
          </w:r>
          <w:r>
            <w:fldChar w:fldCharType="end"/>
          </w:r>
          <w:r>
            <w:rPr>
              <w:rFonts w:hint="eastAsia" w:ascii="宋体" w:hAnsi="宋体" w:eastAsia="宋体" w:cs="宋体"/>
              <w:bCs/>
              <w:color w:val="auto"/>
              <w:szCs w:val="36"/>
            </w:rPr>
            <w:fldChar w:fldCharType="end"/>
          </w:r>
        </w:p>
        <w:p w14:paraId="0923D2D1">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_Toc19808 </w:instrText>
          </w:r>
          <w:r>
            <w:rPr>
              <w:rFonts w:hint="eastAsia" w:ascii="宋体" w:hAnsi="宋体" w:eastAsia="宋体" w:cs="宋体"/>
              <w:bCs/>
              <w:szCs w:val="36"/>
            </w:rPr>
            <w:fldChar w:fldCharType="separate"/>
          </w:r>
          <w:r>
            <w:rPr>
              <w:rFonts w:hint="eastAsia" w:ascii="宋体" w:hAnsi="宋体" w:eastAsia="宋体" w:cs="宋体"/>
              <w:bCs/>
              <w:spacing w:val="1"/>
              <w:szCs w:val="30"/>
            </w:rPr>
            <w:t>1.</w:t>
          </w:r>
          <w:r>
            <w:rPr>
              <w:rFonts w:hint="eastAsia" w:ascii="宋体" w:hAnsi="宋体" w:eastAsia="宋体" w:cs="宋体"/>
              <w:bCs/>
              <w:spacing w:val="1"/>
              <w:szCs w:val="30"/>
              <w:lang w:val="en-US" w:eastAsia="zh-CN"/>
            </w:rPr>
            <w:t>3</w:t>
          </w:r>
          <w:r>
            <w:rPr>
              <w:rFonts w:hint="eastAsia" w:ascii="宋体" w:hAnsi="宋体" w:eastAsia="宋体" w:cs="宋体"/>
              <w:bCs/>
              <w:spacing w:val="1"/>
              <w:szCs w:val="30"/>
            </w:rPr>
            <w:t>评价原则及范围</w:t>
          </w:r>
          <w:r>
            <w:tab/>
          </w:r>
          <w:r>
            <w:fldChar w:fldCharType="begin"/>
          </w:r>
          <w:r>
            <w:instrText xml:space="preserve"> PAGEREF _Toc19808 \h </w:instrText>
          </w:r>
          <w:r>
            <w:fldChar w:fldCharType="separate"/>
          </w:r>
          <w:r>
            <w:t>- 10 -</w:t>
          </w:r>
          <w:r>
            <w:fldChar w:fldCharType="end"/>
          </w:r>
          <w:r>
            <w:rPr>
              <w:rFonts w:hint="eastAsia" w:ascii="宋体" w:hAnsi="宋体" w:eastAsia="宋体" w:cs="宋体"/>
              <w:bCs/>
              <w:color w:val="auto"/>
              <w:szCs w:val="36"/>
            </w:rPr>
            <w:fldChar w:fldCharType="end"/>
          </w:r>
        </w:p>
        <w:p w14:paraId="344081FA">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_Toc22174 </w:instrText>
          </w:r>
          <w:r>
            <w:rPr>
              <w:rFonts w:hint="eastAsia" w:ascii="宋体" w:hAnsi="宋体" w:eastAsia="宋体" w:cs="宋体"/>
              <w:bCs/>
              <w:szCs w:val="36"/>
            </w:rPr>
            <w:fldChar w:fldCharType="separate"/>
          </w:r>
          <w:r>
            <w:rPr>
              <w:rFonts w:hint="eastAsia" w:ascii="宋体" w:hAnsi="宋体" w:eastAsia="宋体" w:cs="宋体"/>
              <w:bCs/>
              <w:spacing w:val="-1"/>
              <w:szCs w:val="28"/>
            </w:rPr>
            <w:t>1.</w:t>
          </w:r>
          <w:r>
            <w:rPr>
              <w:rFonts w:hint="eastAsia" w:ascii="宋体" w:hAnsi="宋体" w:eastAsia="宋体" w:cs="宋体"/>
              <w:bCs/>
              <w:spacing w:val="-1"/>
              <w:szCs w:val="28"/>
              <w:lang w:val="en-US" w:eastAsia="zh-CN"/>
            </w:rPr>
            <w:t>3</w:t>
          </w:r>
          <w:r>
            <w:rPr>
              <w:rFonts w:hint="eastAsia" w:ascii="宋体" w:hAnsi="宋体" w:eastAsia="宋体" w:cs="宋体"/>
              <w:bCs/>
              <w:spacing w:val="-1"/>
              <w:szCs w:val="28"/>
            </w:rPr>
            <w:t>.1</w:t>
          </w:r>
          <w:r>
            <w:rPr>
              <w:rFonts w:hint="eastAsia" w:ascii="宋体" w:hAnsi="宋体" w:eastAsia="宋体" w:cs="宋体"/>
              <w:spacing w:val="-58"/>
              <w:szCs w:val="28"/>
            </w:rPr>
            <w:t xml:space="preserve"> </w:t>
          </w:r>
          <w:r>
            <w:rPr>
              <w:rFonts w:hint="eastAsia" w:ascii="宋体" w:hAnsi="宋体" w:eastAsia="宋体" w:cs="宋体"/>
              <w:bCs/>
              <w:spacing w:val="-1"/>
              <w:szCs w:val="28"/>
            </w:rPr>
            <w:t>评价原则</w:t>
          </w:r>
          <w:r>
            <w:tab/>
          </w:r>
          <w:r>
            <w:fldChar w:fldCharType="begin"/>
          </w:r>
          <w:r>
            <w:instrText xml:space="preserve"> PAGEREF _Toc22174 \h </w:instrText>
          </w:r>
          <w:r>
            <w:fldChar w:fldCharType="separate"/>
          </w:r>
          <w:r>
            <w:t>- 10 -</w:t>
          </w:r>
          <w:r>
            <w:fldChar w:fldCharType="end"/>
          </w:r>
          <w:r>
            <w:rPr>
              <w:rFonts w:hint="eastAsia" w:ascii="宋体" w:hAnsi="宋体" w:eastAsia="宋体" w:cs="宋体"/>
              <w:bCs/>
              <w:color w:val="auto"/>
              <w:szCs w:val="36"/>
            </w:rPr>
            <w:fldChar w:fldCharType="end"/>
          </w:r>
        </w:p>
        <w:p w14:paraId="144424A2">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_Toc8101 </w:instrText>
          </w:r>
          <w:r>
            <w:rPr>
              <w:rFonts w:hint="eastAsia" w:ascii="宋体" w:hAnsi="宋体" w:eastAsia="宋体" w:cs="宋体"/>
              <w:bCs/>
              <w:szCs w:val="36"/>
            </w:rPr>
            <w:fldChar w:fldCharType="separate"/>
          </w:r>
          <w:r>
            <w:rPr>
              <w:rFonts w:hint="eastAsia" w:ascii="宋体" w:hAnsi="宋体" w:eastAsia="宋体" w:cs="宋体"/>
              <w:bCs/>
              <w:spacing w:val="-1"/>
              <w:szCs w:val="28"/>
            </w:rPr>
            <w:t>1.</w:t>
          </w:r>
          <w:r>
            <w:rPr>
              <w:rFonts w:hint="eastAsia" w:ascii="宋体" w:hAnsi="宋体" w:eastAsia="宋体" w:cs="宋体"/>
              <w:bCs/>
              <w:spacing w:val="-1"/>
              <w:szCs w:val="28"/>
              <w:lang w:val="en-US" w:eastAsia="zh-CN"/>
            </w:rPr>
            <w:t>3</w:t>
          </w:r>
          <w:r>
            <w:rPr>
              <w:rFonts w:hint="eastAsia" w:ascii="宋体" w:hAnsi="宋体" w:eastAsia="宋体" w:cs="宋体"/>
              <w:bCs/>
              <w:spacing w:val="-1"/>
              <w:szCs w:val="28"/>
            </w:rPr>
            <w:t>.2</w:t>
          </w:r>
          <w:r>
            <w:rPr>
              <w:rFonts w:hint="eastAsia" w:ascii="宋体" w:hAnsi="宋体" w:eastAsia="宋体" w:cs="宋体"/>
              <w:bCs/>
              <w:spacing w:val="-56"/>
              <w:szCs w:val="28"/>
            </w:rPr>
            <w:t xml:space="preserve"> </w:t>
          </w:r>
          <w:r>
            <w:rPr>
              <w:rFonts w:hint="eastAsia" w:ascii="宋体" w:hAnsi="宋体" w:eastAsia="宋体" w:cs="宋体"/>
              <w:bCs/>
              <w:spacing w:val="-1"/>
              <w:szCs w:val="28"/>
            </w:rPr>
            <w:t>评价范围</w:t>
          </w:r>
          <w:r>
            <w:tab/>
          </w:r>
          <w:r>
            <w:fldChar w:fldCharType="begin"/>
          </w:r>
          <w:r>
            <w:instrText xml:space="preserve"> PAGEREF _Toc8101 \h </w:instrText>
          </w:r>
          <w:r>
            <w:fldChar w:fldCharType="separate"/>
          </w:r>
          <w:r>
            <w:t>- 10 -</w:t>
          </w:r>
          <w:r>
            <w:fldChar w:fldCharType="end"/>
          </w:r>
          <w:r>
            <w:rPr>
              <w:rFonts w:hint="eastAsia" w:ascii="宋体" w:hAnsi="宋体" w:eastAsia="宋体" w:cs="宋体"/>
              <w:bCs/>
              <w:color w:val="auto"/>
              <w:szCs w:val="36"/>
            </w:rPr>
            <w:fldChar w:fldCharType="end"/>
          </w:r>
        </w:p>
        <w:p w14:paraId="37D3CD4E">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_Toc15799 </w:instrText>
          </w:r>
          <w:r>
            <w:rPr>
              <w:rFonts w:hint="eastAsia" w:ascii="宋体" w:hAnsi="宋体" w:eastAsia="宋体" w:cs="宋体"/>
              <w:bCs/>
              <w:szCs w:val="36"/>
            </w:rPr>
            <w:fldChar w:fldCharType="separate"/>
          </w:r>
          <w:r>
            <w:rPr>
              <w:rFonts w:hint="eastAsia" w:ascii="宋体" w:hAnsi="宋体" w:eastAsia="宋体" w:cs="宋体"/>
              <w:bCs/>
              <w:kern w:val="0"/>
              <w:szCs w:val="30"/>
            </w:rPr>
            <w:t>1.</w:t>
          </w:r>
          <w:r>
            <w:rPr>
              <w:rFonts w:hint="eastAsia" w:ascii="宋体" w:hAnsi="宋体" w:eastAsia="宋体" w:cs="宋体"/>
              <w:bCs/>
              <w:kern w:val="0"/>
              <w:szCs w:val="30"/>
              <w:lang w:val="en-US" w:eastAsia="zh-CN"/>
            </w:rPr>
            <w:t>4</w:t>
          </w:r>
          <w:r>
            <w:rPr>
              <w:rFonts w:hint="eastAsia" w:ascii="宋体" w:hAnsi="宋体" w:eastAsia="宋体" w:cs="宋体"/>
              <w:bCs/>
              <w:kern w:val="0"/>
              <w:szCs w:val="30"/>
            </w:rPr>
            <w:t>评价程序</w:t>
          </w:r>
          <w:r>
            <w:tab/>
          </w:r>
          <w:r>
            <w:fldChar w:fldCharType="begin"/>
          </w:r>
          <w:r>
            <w:instrText xml:space="preserve"> PAGEREF _Toc15799 \h </w:instrText>
          </w:r>
          <w:r>
            <w:fldChar w:fldCharType="separate"/>
          </w:r>
          <w:r>
            <w:t>- 11 -</w:t>
          </w:r>
          <w:r>
            <w:fldChar w:fldCharType="end"/>
          </w:r>
          <w:r>
            <w:rPr>
              <w:rFonts w:hint="eastAsia" w:ascii="宋体" w:hAnsi="宋体" w:eastAsia="宋体" w:cs="宋体"/>
              <w:bCs/>
              <w:color w:val="auto"/>
              <w:szCs w:val="36"/>
            </w:rPr>
            <w:fldChar w:fldCharType="end"/>
          </w:r>
        </w:p>
        <w:p w14:paraId="135C0532">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_Toc16829 </w:instrText>
          </w:r>
          <w:r>
            <w:rPr>
              <w:rFonts w:hint="eastAsia" w:ascii="宋体" w:hAnsi="宋体" w:eastAsia="宋体" w:cs="宋体"/>
              <w:bCs/>
              <w:szCs w:val="36"/>
            </w:rPr>
            <w:fldChar w:fldCharType="separate"/>
          </w:r>
          <w:r>
            <w:rPr>
              <w:rFonts w:hint="eastAsia" w:ascii="宋体" w:hAnsi="宋体" w:eastAsia="宋体" w:cs="宋体"/>
              <w:bCs/>
              <w:kern w:val="0"/>
              <w:szCs w:val="30"/>
            </w:rPr>
            <w:t>1.</w:t>
          </w:r>
          <w:r>
            <w:rPr>
              <w:rFonts w:hint="eastAsia" w:ascii="宋体" w:hAnsi="宋体" w:eastAsia="宋体" w:cs="宋体"/>
              <w:bCs/>
              <w:kern w:val="0"/>
              <w:szCs w:val="30"/>
              <w:lang w:val="en-US" w:eastAsia="zh-CN"/>
            </w:rPr>
            <w:t>5</w:t>
          </w:r>
          <w:r>
            <w:rPr>
              <w:rFonts w:hint="eastAsia" w:ascii="宋体" w:hAnsi="宋体" w:eastAsia="宋体" w:cs="宋体"/>
              <w:bCs/>
              <w:kern w:val="0"/>
              <w:szCs w:val="30"/>
            </w:rPr>
            <w:t>评价基准日</w:t>
          </w:r>
          <w:r>
            <w:tab/>
          </w:r>
          <w:r>
            <w:fldChar w:fldCharType="begin"/>
          </w:r>
          <w:r>
            <w:instrText xml:space="preserve"> PAGEREF _Toc16829 \h </w:instrText>
          </w:r>
          <w:r>
            <w:fldChar w:fldCharType="separate"/>
          </w:r>
          <w:r>
            <w:t>- 12 -</w:t>
          </w:r>
          <w:r>
            <w:fldChar w:fldCharType="end"/>
          </w:r>
          <w:r>
            <w:rPr>
              <w:rFonts w:hint="eastAsia" w:ascii="宋体" w:hAnsi="宋体" w:eastAsia="宋体" w:cs="宋体"/>
              <w:bCs/>
              <w:color w:val="auto"/>
              <w:szCs w:val="36"/>
            </w:rPr>
            <w:fldChar w:fldCharType="end"/>
          </w:r>
        </w:p>
        <w:p w14:paraId="5AF5E1E2">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_Toc32231 </w:instrText>
          </w:r>
          <w:r>
            <w:rPr>
              <w:rFonts w:hint="eastAsia" w:ascii="宋体" w:hAnsi="宋体" w:eastAsia="宋体" w:cs="宋体"/>
              <w:bCs/>
              <w:szCs w:val="36"/>
            </w:rPr>
            <w:fldChar w:fldCharType="separate"/>
          </w:r>
          <w:r>
            <w:rPr>
              <w:rFonts w:hint="eastAsia" w:ascii="宋体" w:hAnsi="宋体" w:eastAsia="宋体" w:cs="宋体"/>
              <w:bCs/>
              <w:spacing w:val="2"/>
              <w:szCs w:val="30"/>
            </w:rPr>
            <w:t>1.</w:t>
          </w:r>
          <w:r>
            <w:rPr>
              <w:rFonts w:hint="eastAsia" w:ascii="宋体" w:hAnsi="宋体" w:eastAsia="宋体" w:cs="宋体"/>
              <w:bCs/>
              <w:spacing w:val="2"/>
              <w:szCs w:val="30"/>
              <w:lang w:val="en-US" w:eastAsia="zh-CN"/>
            </w:rPr>
            <w:t>6</w:t>
          </w:r>
          <w:r>
            <w:rPr>
              <w:rFonts w:hint="eastAsia" w:ascii="宋体" w:hAnsi="宋体" w:eastAsia="宋体" w:cs="宋体"/>
              <w:bCs/>
              <w:spacing w:val="2"/>
              <w:szCs w:val="30"/>
            </w:rPr>
            <w:t>评价报告使用权声明</w:t>
          </w:r>
          <w:r>
            <w:tab/>
          </w:r>
          <w:r>
            <w:fldChar w:fldCharType="begin"/>
          </w:r>
          <w:r>
            <w:instrText xml:space="preserve"> PAGEREF _Toc32231 \h </w:instrText>
          </w:r>
          <w:r>
            <w:fldChar w:fldCharType="separate"/>
          </w:r>
          <w:r>
            <w:t>- 12 -</w:t>
          </w:r>
          <w:r>
            <w:fldChar w:fldCharType="end"/>
          </w:r>
          <w:r>
            <w:rPr>
              <w:rFonts w:hint="eastAsia" w:ascii="宋体" w:hAnsi="宋体" w:eastAsia="宋体" w:cs="宋体"/>
              <w:bCs/>
              <w:color w:val="auto"/>
              <w:szCs w:val="36"/>
            </w:rPr>
            <w:fldChar w:fldCharType="end"/>
          </w:r>
        </w:p>
        <w:p w14:paraId="51C1C1E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_Toc2020 </w:instrText>
          </w:r>
          <w:r>
            <w:rPr>
              <w:rFonts w:hint="eastAsia" w:ascii="宋体" w:hAnsi="宋体" w:eastAsia="宋体" w:cs="宋体"/>
              <w:bCs/>
              <w:szCs w:val="36"/>
            </w:rPr>
            <w:fldChar w:fldCharType="separate"/>
          </w:r>
          <w:r>
            <w:rPr>
              <w:rFonts w:ascii="宋体" w:hAnsi="宋体" w:eastAsia="宋体" w:cs="宋体"/>
              <w:bCs/>
              <w:szCs w:val="36"/>
            </w:rPr>
            <w:t>第</w:t>
          </w:r>
          <w:r>
            <w:rPr>
              <w:rFonts w:ascii="宋体" w:hAnsi="宋体" w:eastAsia="宋体" w:cs="宋体"/>
              <w:bCs/>
              <w:spacing w:val="-62"/>
              <w:szCs w:val="36"/>
            </w:rPr>
            <w:t xml:space="preserve"> </w:t>
          </w:r>
          <w:r>
            <w:rPr>
              <w:rFonts w:ascii="宋体" w:hAnsi="宋体" w:eastAsia="宋体" w:cs="宋体"/>
              <w:bCs/>
              <w:szCs w:val="36"/>
            </w:rPr>
            <w:t>2</w:t>
          </w:r>
          <w:r>
            <w:rPr>
              <w:rFonts w:ascii="宋体" w:hAnsi="宋体" w:eastAsia="宋体" w:cs="宋体"/>
              <w:bCs/>
              <w:spacing w:val="-57"/>
              <w:szCs w:val="36"/>
            </w:rPr>
            <w:t xml:space="preserve"> </w:t>
          </w:r>
          <w:r>
            <w:rPr>
              <w:rFonts w:ascii="宋体" w:hAnsi="宋体" w:eastAsia="宋体" w:cs="宋体"/>
              <w:bCs/>
              <w:szCs w:val="36"/>
            </w:rPr>
            <w:t>章 评价项目概况</w:t>
          </w:r>
          <w:r>
            <w:tab/>
          </w:r>
          <w:r>
            <w:fldChar w:fldCharType="begin"/>
          </w:r>
          <w:r>
            <w:instrText xml:space="preserve"> PAGEREF _Toc2020 \h </w:instrText>
          </w:r>
          <w:r>
            <w:fldChar w:fldCharType="separate"/>
          </w:r>
          <w:r>
            <w:t>- 13 -</w:t>
          </w:r>
          <w:r>
            <w:fldChar w:fldCharType="end"/>
          </w:r>
          <w:r>
            <w:rPr>
              <w:rFonts w:hint="eastAsia" w:ascii="宋体" w:hAnsi="宋体" w:eastAsia="宋体" w:cs="宋体"/>
              <w:bCs/>
              <w:color w:val="auto"/>
              <w:szCs w:val="36"/>
            </w:rPr>
            <w:fldChar w:fldCharType="end"/>
          </w:r>
        </w:p>
        <w:p w14:paraId="04CA7909">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_Toc10474 </w:instrText>
          </w:r>
          <w:r>
            <w:rPr>
              <w:rFonts w:hint="eastAsia" w:ascii="宋体" w:hAnsi="宋体" w:eastAsia="宋体" w:cs="宋体"/>
              <w:bCs/>
              <w:szCs w:val="36"/>
            </w:rPr>
            <w:fldChar w:fldCharType="separate"/>
          </w:r>
          <w:r>
            <w:rPr>
              <w:rFonts w:hint="eastAsia" w:ascii="宋体" w:hAnsi="宋体" w:eastAsia="宋体" w:cs="宋体"/>
              <w:bCs/>
              <w:szCs w:val="30"/>
            </w:rPr>
            <w:t>2.1</w:t>
          </w:r>
          <w:r>
            <w:rPr>
              <w:rFonts w:hint="eastAsia" w:ascii="宋体" w:hAnsi="宋体" w:eastAsia="宋体" w:cs="宋体"/>
              <w:spacing w:val="-55"/>
              <w:szCs w:val="30"/>
            </w:rPr>
            <w:t xml:space="preserve"> </w:t>
          </w:r>
          <w:r>
            <w:rPr>
              <w:rFonts w:hint="eastAsia" w:ascii="宋体" w:hAnsi="宋体" w:eastAsia="宋体" w:cs="宋体"/>
              <w:bCs/>
              <w:szCs w:val="30"/>
            </w:rPr>
            <w:t>企业概况</w:t>
          </w:r>
          <w:r>
            <w:tab/>
          </w:r>
          <w:r>
            <w:fldChar w:fldCharType="begin"/>
          </w:r>
          <w:r>
            <w:instrText xml:space="preserve"> PAGEREF _Toc10474 \h </w:instrText>
          </w:r>
          <w:r>
            <w:fldChar w:fldCharType="separate"/>
          </w:r>
          <w:r>
            <w:t>- 13 -</w:t>
          </w:r>
          <w:r>
            <w:fldChar w:fldCharType="end"/>
          </w:r>
          <w:r>
            <w:rPr>
              <w:rFonts w:hint="eastAsia" w:ascii="宋体" w:hAnsi="宋体" w:eastAsia="宋体" w:cs="宋体"/>
              <w:bCs/>
              <w:color w:val="auto"/>
              <w:szCs w:val="36"/>
            </w:rPr>
            <w:fldChar w:fldCharType="end"/>
          </w:r>
        </w:p>
        <w:p w14:paraId="5C6E2A5F">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_Toc22931 </w:instrText>
          </w:r>
          <w:r>
            <w:rPr>
              <w:rFonts w:hint="eastAsia" w:ascii="宋体" w:hAnsi="宋体" w:eastAsia="宋体" w:cs="宋体"/>
              <w:bCs/>
              <w:szCs w:val="36"/>
            </w:rPr>
            <w:fldChar w:fldCharType="separate"/>
          </w:r>
          <w:r>
            <w:rPr>
              <w:rFonts w:hint="eastAsia" w:ascii="宋体" w:hAnsi="宋体" w:eastAsia="宋体" w:cs="宋体"/>
              <w:bCs/>
              <w:spacing w:val="1"/>
              <w:szCs w:val="28"/>
            </w:rPr>
            <w:t>2.1.1</w:t>
          </w:r>
          <w:r>
            <w:rPr>
              <w:rFonts w:hint="eastAsia" w:ascii="宋体" w:hAnsi="宋体" w:eastAsia="宋体" w:cs="宋体"/>
              <w:spacing w:val="-57"/>
              <w:szCs w:val="28"/>
            </w:rPr>
            <w:t xml:space="preserve"> </w:t>
          </w:r>
          <w:r>
            <w:rPr>
              <w:rFonts w:hint="eastAsia" w:ascii="宋体" w:hAnsi="宋体" w:eastAsia="宋体" w:cs="宋体"/>
              <w:bCs/>
              <w:spacing w:val="1"/>
              <w:szCs w:val="28"/>
            </w:rPr>
            <w:t>企业简介</w:t>
          </w:r>
          <w:r>
            <w:tab/>
          </w:r>
          <w:r>
            <w:fldChar w:fldCharType="begin"/>
          </w:r>
          <w:r>
            <w:instrText xml:space="preserve"> PAGEREF _Toc22931 \h </w:instrText>
          </w:r>
          <w:r>
            <w:fldChar w:fldCharType="separate"/>
          </w:r>
          <w:r>
            <w:t>- 13 -</w:t>
          </w:r>
          <w:r>
            <w:fldChar w:fldCharType="end"/>
          </w:r>
          <w:r>
            <w:rPr>
              <w:rFonts w:hint="eastAsia" w:ascii="宋体" w:hAnsi="宋体" w:eastAsia="宋体" w:cs="宋体"/>
              <w:bCs/>
              <w:color w:val="auto"/>
              <w:szCs w:val="36"/>
            </w:rPr>
            <w:fldChar w:fldCharType="end"/>
          </w:r>
        </w:p>
        <w:p w14:paraId="285BE398">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_Toc23128 </w:instrText>
          </w:r>
          <w:r>
            <w:rPr>
              <w:rFonts w:hint="eastAsia" w:ascii="宋体" w:hAnsi="宋体" w:eastAsia="宋体" w:cs="宋体"/>
              <w:bCs/>
              <w:szCs w:val="36"/>
            </w:rPr>
            <w:fldChar w:fldCharType="separate"/>
          </w:r>
          <w:r>
            <w:rPr>
              <w:rFonts w:hint="eastAsia" w:ascii="宋体" w:hAnsi="宋体" w:eastAsia="宋体" w:cs="宋体"/>
              <w:bCs/>
              <w:spacing w:val="2"/>
              <w:szCs w:val="28"/>
            </w:rPr>
            <w:t>2.1.2</w:t>
          </w:r>
          <w:r>
            <w:rPr>
              <w:rFonts w:hint="eastAsia" w:ascii="宋体" w:hAnsi="宋体" w:eastAsia="宋体" w:cs="宋体"/>
              <w:spacing w:val="-55"/>
              <w:szCs w:val="28"/>
            </w:rPr>
            <w:t xml:space="preserve"> </w:t>
          </w:r>
          <w:r>
            <w:rPr>
              <w:rFonts w:hint="eastAsia" w:ascii="宋体" w:hAnsi="宋体" w:eastAsia="宋体" w:cs="宋体"/>
              <w:bCs/>
              <w:spacing w:val="2"/>
              <w:szCs w:val="28"/>
            </w:rPr>
            <w:t>项目概况</w:t>
          </w:r>
          <w:r>
            <w:tab/>
          </w:r>
          <w:r>
            <w:fldChar w:fldCharType="begin"/>
          </w:r>
          <w:r>
            <w:instrText xml:space="preserve"> PAGEREF _Toc23128 \h </w:instrText>
          </w:r>
          <w:r>
            <w:fldChar w:fldCharType="separate"/>
          </w:r>
          <w:r>
            <w:t>- 14 -</w:t>
          </w:r>
          <w:r>
            <w:fldChar w:fldCharType="end"/>
          </w:r>
          <w:r>
            <w:rPr>
              <w:rFonts w:hint="eastAsia" w:ascii="宋体" w:hAnsi="宋体" w:eastAsia="宋体" w:cs="宋体"/>
              <w:bCs/>
              <w:color w:val="auto"/>
              <w:szCs w:val="36"/>
            </w:rPr>
            <w:fldChar w:fldCharType="end"/>
          </w:r>
        </w:p>
        <w:p w14:paraId="3033C809">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_Toc30204 </w:instrText>
          </w:r>
          <w:r>
            <w:rPr>
              <w:rFonts w:hint="eastAsia" w:ascii="宋体" w:hAnsi="宋体" w:eastAsia="宋体" w:cs="宋体"/>
              <w:bCs/>
              <w:szCs w:val="36"/>
            </w:rPr>
            <w:fldChar w:fldCharType="separate"/>
          </w:r>
          <w:r>
            <w:rPr>
              <w:rFonts w:hint="eastAsia" w:ascii="宋体" w:hAnsi="宋体" w:eastAsia="宋体" w:cs="宋体"/>
              <w:bCs/>
              <w:spacing w:val="-4"/>
              <w:szCs w:val="30"/>
            </w:rPr>
            <w:t>2.2</w:t>
          </w:r>
          <w:r>
            <w:rPr>
              <w:rFonts w:hint="eastAsia" w:ascii="宋体" w:hAnsi="宋体" w:eastAsia="宋体" w:cs="宋体"/>
              <w:spacing w:val="-4"/>
              <w:szCs w:val="30"/>
            </w:rPr>
            <w:t xml:space="preserve"> </w:t>
          </w:r>
          <w:r>
            <w:rPr>
              <w:rFonts w:hint="eastAsia" w:ascii="宋体" w:hAnsi="宋体" w:eastAsia="宋体" w:cs="宋体"/>
              <w:bCs/>
              <w:spacing w:val="-4"/>
              <w:szCs w:val="30"/>
            </w:rPr>
            <w:t>自然环境简况</w:t>
          </w:r>
          <w:r>
            <w:tab/>
          </w:r>
          <w:r>
            <w:fldChar w:fldCharType="begin"/>
          </w:r>
          <w:r>
            <w:instrText xml:space="preserve"> PAGEREF _Toc30204 \h </w:instrText>
          </w:r>
          <w:r>
            <w:fldChar w:fldCharType="separate"/>
          </w:r>
          <w:r>
            <w:t>- 15 -</w:t>
          </w:r>
          <w:r>
            <w:fldChar w:fldCharType="end"/>
          </w:r>
          <w:r>
            <w:rPr>
              <w:rFonts w:hint="eastAsia" w:ascii="宋体" w:hAnsi="宋体" w:eastAsia="宋体" w:cs="宋体"/>
              <w:bCs/>
              <w:color w:val="auto"/>
              <w:szCs w:val="36"/>
            </w:rPr>
            <w:fldChar w:fldCharType="end"/>
          </w:r>
        </w:p>
        <w:p w14:paraId="59ADCF3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_Toc1710 </w:instrText>
          </w:r>
          <w:r>
            <w:rPr>
              <w:rFonts w:hint="eastAsia" w:ascii="宋体" w:hAnsi="宋体" w:eastAsia="宋体" w:cs="宋体"/>
              <w:bCs/>
              <w:szCs w:val="36"/>
            </w:rPr>
            <w:fldChar w:fldCharType="separate"/>
          </w:r>
          <w:r>
            <w:rPr>
              <w:rFonts w:hint="eastAsia" w:ascii="宋体" w:hAnsi="宋体" w:eastAsia="宋体" w:cs="宋体"/>
              <w:bCs/>
              <w:spacing w:val="5"/>
              <w:szCs w:val="28"/>
            </w:rPr>
            <w:t>2.2.1</w:t>
          </w:r>
          <w:r>
            <w:rPr>
              <w:rFonts w:hint="eastAsia" w:ascii="宋体" w:hAnsi="宋体" w:eastAsia="宋体" w:cs="宋体"/>
              <w:spacing w:val="5"/>
              <w:szCs w:val="28"/>
            </w:rPr>
            <w:t xml:space="preserve"> </w:t>
          </w:r>
          <w:r>
            <w:rPr>
              <w:rFonts w:hint="eastAsia" w:ascii="宋体" w:hAnsi="宋体" w:eastAsia="宋体" w:cs="宋体"/>
              <w:bCs/>
              <w:spacing w:val="5"/>
              <w:szCs w:val="28"/>
            </w:rPr>
            <w:t>厂区位置与周边环境情况</w:t>
          </w:r>
          <w:r>
            <w:tab/>
          </w:r>
          <w:r>
            <w:fldChar w:fldCharType="begin"/>
          </w:r>
          <w:r>
            <w:instrText xml:space="preserve"> PAGEREF _Toc1710 \h </w:instrText>
          </w:r>
          <w:r>
            <w:fldChar w:fldCharType="separate"/>
          </w:r>
          <w:r>
            <w:t>- 15 -</w:t>
          </w:r>
          <w:r>
            <w:fldChar w:fldCharType="end"/>
          </w:r>
          <w:r>
            <w:rPr>
              <w:rFonts w:hint="eastAsia" w:ascii="宋体" w:hAnsi="宋体" w:eastAsia="宋体" w:cs="宋体"/>
              <w:bCs/>
              <w:color w:val="auto"/>
              <w:szCs w:val="36"/>
            </w:rPr>
            <w:fldChar w:fldCharType="end"/>
          </w:r>
        </w:p>
        <w:p w14:paraId="103BBB3C">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_Toc12653 </w:instrText>
          </w:r>
          <w:r>
            <w:rPr>
              <w:rFonts w:hint="eastAsia" w:ascii="宋体" w:hAnsi="宋体" w:eastAsia="宋体" w:cs="宋体"/>
              <w:bCs/>
              <w:szCs w:val="36"/>
            </w:rPr>
            <w:fldChar w:fldCharType="separate"/>
          </w:r>
          <w:r>
            <w:rPr>
              <w:rFonts w:hint="eastAsia" w:ascii="宋体" w:hAnsi="宋体" w:eastAsia="宋体" w:cs="宋体"/>
              <w:bCs/>
              <w:spacing w:val="1"/>
              <w:szCs w:val="28"/>
            </w:rPr>
            <w:t>2.2.2</w:t>
          </w:r>
          <w:r>
            <w:rPr>
              <w:rFonts w:hint="eastAsia" w:hAnsi="宋体" w:cs="宋体"/>
              <w:bCs/>
              <w:spacing w:val="1"/>
              <w:szCs w:val="28"/>
              <w:lang w:val="en-US" w:eastAsia="zh-CN"/>
            </w:rPr>
            <w:t>3</w:t>
          </w:r>
          <w:r>
            <w:rPr>
              <w:rFonts w:hint="eastAsia" w:ascii="宋体" w:hAnsi="宋体" w:eastAsia="宋体" w:cs="宋体"/>
              <w:bCs/>
              <w:spacing w:val="1"/>
              <w:szCs w:val="28"/>
            </w:rPr>
            <w:t>气象条件</w:t>
          </w:r>
          <w:r>
            <w:tab/>
          </w:r>
          <w:r>
            <w:fldChar w:fldCharType="begin"/>
          </w:r>
          <w:r>
            <w:instrText xml:space="preserve"> PAGEREF _Toc12653 \h </w:instrText>
          </w:r>
          <w:r>
            <w:fldChar w:fldCharType="separate"/>
          </w:r>
          <w:r>
            <w:t>- 16 -</w:t>
          </w:r>
          <w:r>
            <w:fldChar w:fldCharType="end"/>
          </w:r>
          <w:r>
            <w:rPr>
              <w:rFonts w:hint="eastAsia" w:ascii="宋体" w:hAnsi="宋体" w:eastAsia="宋体" w:cs="宋体"/>
              <w:bCs/>
              <w:color w:val="auto"/>
              <w:szCs w:val="36"/>
            </w:rPr>
            <w:fldChar w:fldCharType="end"/>
          </w:r>
        </w:p>
        <w:p w14:paraId="0161B452">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_Toc17309 </w:instrText>
          </w:r>
          <w:r>
            <w:rPr>
              <w:rFonts w:hint="eastAsia" w:ascii="宋体" w:hAnsi="宋体" w:eastAsia="宋体" w:cs="宋体"/>
              <w:bCs/>
              <w:szCs w:val="36"/>
            </w:rPr>
            <w:fldChar w:fldCharType="separate"/>
          </w:r>
          <w:r>
            <w:rPr>
              <w:rFonts w:hint="eastAsia" w:ascii="宋体" w:hAnsi="宋体" w:eastAsia="宋体" w:cs="宋体"/>
              <w:bCs/>
              <w:spacing w:val="1"/>
              <w:szCs w:val="28"/>
            </w:rPr>
            <w:t>2.2.</w:t>
          </w:r>
          <w:r>
            <w:rPr>
              <w:rFonts w:hint="eastAsia" w:hAnsi="宋体" w:cs="宋体"/>
              <w:bCs/>
              <w:spacing w:val="1"/>
              <w:szCs w:val="28"/>
              <w:lang w:val="en-US" w:eastAsia="zh-CN"/>
            </w:rPr>
            <w:t>4</w:t>
          </w:r>
          <w:r>
            <w:rPr>
              <w:rFonts w:hint="eastAsia" w:ascii="宋体" w:hAnsi="宋体" w:eastAsia="宋体" w:cs="宋体"/>
              <w:bCs/>
              <w:spacing w:val="1"/>
              <w:szCs w:val="28"/>
            </w:rPr>
            <w:t>地质条件</w:t>
          </w:r>
          <w:r>
            <w:tab/>
          </w:r>
          <w:r>
            <w:fldChar w:fldCharType="begin"/>
          </w:r>
          <w:r>
            <w:instrText xml:space="preserve"> PAGEREF _Toc17309 \h </w:instrText>
          </w:r>
          <w:r>
            <w:fldChar w:fldCharType="separate"/>
          </w:r>
          <w:r>
            <w:t>- 16 -</w:t>
          </w:r>
          <w:r>
            <w:fldChar w:fldCharType="end"/>
          </w:r>
          <w:r>
            <w:rPr>
              <w:rFonts w:hint="eastAsia" w:ascii="宋体" w:hAnsi="宋体" w:eastAsia="宋体" w:cs="宋体"/>
              <w:bCs/>
              <w:color w:val="auto"/>
              <w:szCs w:val="36"/>
            </w:rPr>
            <w:fldChar w:fldCharType="end"/>
          </w:r>
        </w:p>
        <w:p w14:paraId="263E5BF2">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_Toc6895 </w:instrText>
          </w:r>
          <w:r>
            <w:rPr>
              <w:rFonts w:hint="eastAsia" w:ascii="宋体" w:hAnsi="宋体" w:eastAsia="宋体" w:cs="宋体"/>
              <w:bCs/>
              <w:szCs w:val="36"/>
            </w:rPr>
            <w:fldChar w:fldCharType="separate"/>
          </w:r>
          <w:r>
            <w:rPr>
              <w:rFonts w:hint="eastAsia" w:ascii="宋体" w:hAnsi="宋体" w:eastAsia="宋体" w:cs="宋体"/>
              <w:bCs/>
              <w:spacing w:val="-4"/>
              <w:szCs w:val="30"/>
            </w:rPr>
            <w:t>2.</w:t>
          </w:r>
          <w:r>
            <w:rPr>
              <w:rFonts w:hint="eastAsia" w:ascii="宋体" w:hAnsi="宋体" w:eastAsia="宋体" w:cs="宋体"/>
              <w:bCs/>
              <w:spacing w:val="-4"/>
              <w:szCs w:val="30"/>
              <w:lang w:val="en-US" w:eastAsia="zh-CN"/>
            </w:rPr>
            <w:t>3</w:t>
          </w:r>
          <w:r>
            <w:rPr>
              <w:rFonts w:hint="eastAsia" w:ascii="宋体" w:hAnsi="宋体" w:eastAsia="宋体" w:cs="宋体"/>
              <w:bCs/>
              <w:spacing w:val="-4"/>
              <w:szCs w:val="30"/>
            </w:rPr>
            <w:t xml:space="preserve"> </w:t>
          </w:r>
          <w:r>
            <w:rPr>
              <w:rFonts w:hint="eastAsia" w:ascii="宋体" w:hAnsi="宋体" w:eastAsia="宋体" w:cs="宋体"/>
              <w:bCs/>
              <w:spacing w:val="-4"/>
              <w:szCs w:val="30"/>
              <w:lang w:val="en-US" w:eastAsia="zh-CN"/>
            </w:rPr>
            <w:t>生产工艺简述</w:t>
          </w:r>
          <w:r>
            <w:tab/>
          </w:r>
          <w:r>
            <w:fldChar w:fldCharType="begin"/>
          </w:r>
          <w:r>
            <w:instrText xml:space="preserve"> PAGEREF _Toc6895 \h </w:instrText>
          </w:r>
          <w:r>
            <w:fldChar w:fldCharType="separate"/>
          </w:r>
          <w:r>
            <w:t>- 17 -</w:t>
          </w:r>
          <w:r>
            <w:fldChar w:fldCharType="end"/>
          </w:r>
          <w:r>
            <w:rPr>
              <w:rFonts w:hint="eastAsia" w:ascii="宋体" w:hAnsi="宋体" w:eastAsia="宋体" w:cs="宋体"/>
              <w:bCs/>
              <w:color w:val="auto"/>
              <w:szCs w:val="36"/>
            </w:rPr>
            <w:fldChar w:fldCharType="end"/>
          </w:r>
        </w:p>
        <w:p w14:paraId="0C4E914D">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_Toc23494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2.4公用工程及辅助生产设施</w:t>
          </w:r>
          <w:r>
            <w:tab/>
          </w:r>
          <w:r>
            <w:fldChar w:fldCharType="begin"/>
          </w:r>
          <w:r>
            <w:instrText xml:space="preserve"> PAGEREF _Toc23494 \h </w:instrText>
          </w:r>
          <w:r>
            <w:fldChar w:fldCharType="separate"/>
          </w:r>
          <w:r>
            <w:t>- 19 -</w:t>
          </w:r>
          <w:r>
            <w:fldChar w:fldCharType="end"/>
          </w:r>
          <w:r>
            <w:rPr>
              <w:rFonts w:hint="eastAsia" w:ascii="宋体" w:hAnsi="宋体" w:eastAsia="宋体" w:cs="宋体"/>
              <w:bCs/>
              <w:color w:val="auto"/>
              <w:szCs w:val="36"/>
            </w:rPr>
            <w:fldChar w:fldCharType="end"/>
          </w:r>
        </w:p>
        <w:p w14:paraId="585FA82D">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_Toc13196 </w:instrText>
          </w:r>
          <w:r>
            <w:rPr>
              <w:rFonts w:hint="eastAsia" w:ascii="宋体" w:hAnsi="宋体" w:eastAsia="宋体" w:cs="宋体"/>
              <w:bCs/>
              <w:szCs w:val="36"/>
            </w:rPr>
            <w:fldChar w:fldCharType="separate"/>
          </w:r>
          <w:r>
            <w:rPr>
              <w:rFonts w:hint="eastAsia" w:ascii="宋体" w:hAnsi="宋体" w:eastAsia="宋体" w:cs="宋体"/>
              <w:bCs/>
              <w:szCs w:val="28"/>
            </w:rPr>
            <w:t>2.4.1</w:t>
          </w:r>
          <w:r>
            <w:rPr>
              <w:rFonts w:hint="eastAsia" w:ascii="宋体" w:hAnsi="宋体" w:eastAsia="宋体" w:cs="宋体"/>
              <w:spacing w:val="-56"/>
              <w:szCs w:val="28"/>
            </w:rPr>
            <w:t xml:space="preserve"> </w:t>
          </w:r>
          <w:r>
            <w:rPr>
              <w:rFonts w:hint="eastAsia" w:ascii="宋体" w:hAnsi="宋体" w:eastAsia="宋体" w:cs="宋体"/>
              <w:bCs/>
              <w:szCs w:val="28"/>
            </w:rPr>
            <w:t>给排水</w:t>
          </w:r>
          <w:r>
            <w:tab/>
          </w:r>
          <w:r>
            <w:fldChar w:fldCharType="begin"/>
          </w:r>
          <w:r>
            <w:instrText xml:space="preserve"> PAGEREF _Toc13196 \h </w:instrText>
          </w:r>
          <w:r>
            <w:fldChar w:fldCharType="separate"/>
          </w:r>
          <w:r>
            <w:t>- 19 -</w:t>
          </w:r>
          <w:r>
            <w:fldChar w:fldCharType="end"/>
          </w:r>
          <w:r>
            <w:rPr>
              <w:rFonts w:hint="eastAsia" w:ascii="宋体" w:hAnsi="宋体" w:eastAsia="宋体" w:cs="宋体"/>
              <w:bCs/>
              <w:color w:val="auto"/>
              <w:szCs w:val="36"/>
            </w:rPr>
            <w:fldChar w:fldCharType="end"/>
          </w:r>
        </w:p>
        <w:p w14:paraId="7BB0C363">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_Toc20805 </w:instrText>
          </w:r>
          <w:r>
            <w:rPr>
              <w:rFonts w:hint="eastAsia" w:ascii="宋体" w:hAnsi="宋体" w:eastAsia="宋体" w:cs="宋体"/>
              <w:bCs/>
              <w:szCs w:val="36"/>
            </w:rPr>
            <w:fldChar w:fldCharType="separate"/>
          </w:r>
          <w:r>
            <w:rPr>
              <w:rFonts w:hint="eastAsia" w:ascii="宋体" w:hAnsi="宋体" w:eastAsia="宋体" w:cs="宋体"/>
              <w:bCs/>
              <w:spacing w:val="-5"/>
              <w:szCs w:val="28"/>
            </w:rPr>
            <w:t>2.4.2</w:t>
          </w:r>
          <w:r>
            <w:rPr>
              <w:rFonts w:hint="eastAsia" w:ascii="宋体" w:hAnsi="宋体" w:eastAsia="宋体" w:cs="宋体"/>
              <w:bCs/>
              <w:spacing w:val="-55"/>
              <w:szCs w:val="28"/>
            </w:rPr>
            <w:t xml:space="preserve"> </w:t>
          </w:r>
          <w:r>
            <w:rPr>
              <w:rFonts w:hint="eastAsia" w:ascii="宋体" w:hAnsi="宋体" w:eastAsia="宋体" w:cs="宋体"/>
              <w:bCs/>
              <w:spacing w:val="-5"/>
              <w:szCs w:val="28"/>
            </w:rPr>
            <w:t>供配电和公辅设施</w:t>
          </w:r>
          <w:r>
            <w:tab/>
          </w:r>
          <w:r>
            <w:fldChar w:fldCharType="begin"/>
          </w:r>
          <w:r>
            <w:instrText xml:space="preserve"> PAGEREF _Toc20805 \h </w:instrText>
          </w:r>
          <w:r>
            <w:fldChar w:fldCharType="separate"/>
          </w:r>
          <w:r>
            <w:t>- 19 -</w:t>
          </w:r>
          <w:r>
            <w:fldChar w:fldCharType="end"/>
          </w:r>
          <w:r>
            <w:rPr>
              <w:rFonts w:hint="eastAsia" w:ascii="宋体" w:hAnsi="宋体" w:eastAsia="宋体" w:cs="宋体"/>
              <w:bCs/>
              <w:color w:val="auto"/>
              <w:szCs w:val="36"/>
            </w:rPr>
            <w:fldChar w:fldCharType="end"/>
          </w:r>
        </w:p>
        <w:p w14:paraId="5A0A26DD">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_Toc27946 </w:instrText>
          </w:r>
          <w:r>
            <w:rPr>
              <w:rFonts w:hint="eastAsia" w:ascii="宋体" w:hAnsi="宋体" w:eastAsia="宋体" w:cs="宋体"/>
              <w:bCs/>
              <w:szCs w:val="36"/>
            </w:rPr>
            <w:fldChar w:fldCharType="separate"/>
          </w:r>
          <w:r>
            <w:rPr>
              <w:rFonts w:hint="eastAsia" w:ascii="宋体" w:hAnsi="宋体" w:eastAsia="宋体" w:cs="宋体"/>
              <w:bCs/>
              <w:szCs w:val="28"/>
              <w:lang w:val="en-US" w:eastAsia="zh-CN"/>
            </w:rPr>
            <w:t>2.4.</w:t>
          </w:r>
          <w:r>
            <w:rPr>
              <w:rFonts w:hint="eastAsia" w:hAnsi="宋体" w:cs="宋体"/>
              <w:bCs/>
              <w:szCs w:val="28"/>
              <w:lang w:val="en-US" w:eastAsia="zh-CN"/>
            </w:rPr>
            <w:t>3</w:t>
          </w:r>
          <w:r>
            <w:rPr>
              <w:rFonts w:hint="eastAsia" w:ascii="宋体" w:hAnsi="宋体" w:eastAsia="宋体" w:cs="宋体"/>
              <w:bCs/>
              <w:szCs w:val="28"/>
              <w:lang w:val="en-US" w:eastAsia="zh-CN"/>
            </w:rPr>
            <w:t>消防</w:t>
          </w:r>
          <w:r>
            <w:tab/>
          </w:r>
          <w:r>
            <w:fldChar w:fldCharType="begin"/>
          </w:r>
          <w:r>
            <w:instrText xml:space="preserve"> PAGEREF _Toc27946 \h </w:instrText>
          </w:r>
          <w:r>
            <w:fldChar w:fldCharType="separate"/>
          </w:r>
          <w:r>
            <w:t>- 20 -</w:t>
          </w:r>
          <w:r>
            <w:fldChar w:fldCharType="end"/>
          </w:r>
          <w:r>
            <w:rPr>
              <w:rFonts w:hint="eastAsia" w:ascii="宋体" w:hAnsi="宋体" w:eastAsia="宋体" w:cs="宋体"/>
              <w:bCs/>
              <w:color w:val="auto"/>
              <w:szCs w:val="36"/>
            </w:rPr>
            <w:fldChar w:fldCharType="end"/>
          </w:r>
        </w:p>
        <w:p w14:paraId="451FF958">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_Toc19904 </w:instrText>
          </w:r>
          <w:r>
            <w:rPr>
              <w:rFonts w:hint="eastAsia" w:ascii="宋体" w:hAnsi="宋体" w:eastAsia="宋体" w:cs="宋体"/>
              <w:bCs/>
              <w:szCs w:val="36"/>
            </w:rPr>
            <w:fldChar w:fldCharType="separate"/>
          </w:r>
          <w:r>
            <w:rPr>
              <w:rFonts w:hint="eastAsia" w:ascii="宋体" w:hAnsi="宋体" w:eastAsia="宋体" w:cs="宋体"/>
              <w:bCs/>
              <w:szCs w:val="28"/>
              <w:lang w:val="en-US" w:eastAsia="zh-CN"/>
            </w:rPr>
            <w:t>2.4.4供气系统</w:t>
          </w:r>
          <w:r>
            <w:tab/>
          </w:r>
          <w:r>
            <w:fldChar w:fldCharType="begin"/>
          </w:r>
          <w:r>
            <w:instrText xml:space="preserve"> PAGEREF _Toc19904 \h </w:instrText>
          </w:r>
          <w:r>
            <w:fldChar w:fldCharType="separate"/>
          </w:r>
          <w:r>
            <w:t>- 20 -</w:t>
          </w:r>
          <w:r>
            <w:fldChar w:fldCharType="end"/>
          </w:r>
          <w:r>
            <w:rPr>
              <w:rFonts w:hint="eastAsia" w:ascii="宋体" w:hAnsi="宋体" w:eastAsia="宋体" w:cs="宋体"/>
              <w:bCs/>
              <w:color w:val="auto"/>
              <w:szCs w:val="36"/>
            </w:rPr>
            <w:fldChar w:fldCharType="end"/>
          </w:r>
        </w:p>
        <w:p w14:paraId="0BF30BCE">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_Toc5340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2.5.1 安全生产管理组织机构</w:t>
          </w:r>
          <w:r>
            <w:tab/>
          </w:r>
          <w:r>
            <w:fldChar w:fldCharType="begin"/>
          </w:r>
          <w:r>
            <w:instrText xml:space="preserve"> PAGEREF _Toc5340 \h </w:instrText>
          </w:r>
          <w:r>
            <w:fldChar w:fldCharType="separate"/>
          </w:r>
          <w:r>
            <w:t>- 20 -</w:t>
          </w:r>
          <w:r>
            <w:fldChar w:fldCharType="end"/>
          </w:r>
          <w:r>
            <w:rPr>
              <w:rFonts w:hint="eastAsia" w:ascii="宋体" w:hAnsi="宋体" w:eastAsia="宋体" w:cs="宋体"/>
              <w:bCs/>
              <w:color w:val="auto"/>
              <w:szCs w:val="36"/>
            </w:rPr>
            <w:fldChar w:fldCharType="end"/>
          </w:r>
        </w:p>
        <w:p w14:paraId="5E738C1E">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_Toc13275 </w:instrText>
          </w:r>
          <w:r>
            <w:rPr>
              <w:rFonts w:hint="eastAsia" w:ascii="宋体" w:hAnsi="宋体" w:eastAsia="宋体" w:cs="宋体"/>
              <w:bCs/>
              <w:szCs w:val="36"/>
            </w:rPr>
            <w:fldChar w:fldCharType="separate"/>
          </w:r>
          <w:r>
            <w:rPr>
              <w:rFonts w:hint="eastAsia" w:ascii="宋体" w:hAnsi="宋体" w:eastAsia="宋体" w:cs="宋体"/>
              <w:bCs/>
              <w:kern w:val="0"/>
              <w:szCs w:val="28"/>
              <w:shd w:val="clear" w:color="auto" w:fill="auto"/>
              <w:lang w:val="en-US" w:eastAsia="zh-CN" w:bidi="ar"/>
            </w:rPr>
            <w:t>2.5.2 安全生产管理制度</w:t>
          </w:r>
          <w:r>
            <w:tab/>
          </w:r>
          <w:r>
            <w:fldChar w:fldCharType="begin"/>
          </w:r>
          <w:r>
            <w:instrText xml:space="preserve"> PAGEREF _Toc13275 \h </w:instrText>
          </w:r>
          <w:r>
            <w:fldChar w:fldCharType="separate"/>
          </w:r>
          <w:r>
            <w:t>- 21 -</w:t>
          </w:r>
          <w:r>
            <w:fldChar w:fldCharType="end"/>
          </w:r>
          <w:r>
            <w:rPr>
              <w:rFonts w:hint="eastAsia" w:ascii="宋体" w:hAnsi="宋体" w:eastAsia="宋体" w:cs="宋体"/>
              <w:bCs/>
              <w:color w:val="auto"/>
              <w:szCs w:val="36"/>
            </w:rPr>
            <w:fldChar w:fldCharType="end"/>
          </w:r>
        </w:p>
        <w:p w14:paraId="06F2978D">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_Toc11541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2.5.3 事故应急救援预案</w:t>
          </w:r>
          <w:r>
            <w:tab/>
          </w:r>
          <w:r>
            <w:fldChar w:fldCharType="begin"/>
          </w:r>
          <w:r>
            <w:instrText xml:space="preserve"> PAGEREF _Toc11541 \h </w:instrText>
          </w:r>
          <w:r>
            <w:fldChar w:fldCharType="separate"/>
          </w:r>
          <w:r>
            <w:t>- 23 -</w:t>
          </w:r>
          <w:r>
            <w:fldChar w:fldCharType="end"/>
          </w:r>
          <w:r>
            <w:rPr>
              <w:rFonts w:hint="eastAsia" w:ascii="宋体" w:hAnsi="宋体" w:eastAsia="宋体" w:cs="宋体"/>
              <w:bCs/>
              <w:color w:val="auto"/>
              <w:szCs w:val="36"/>
            </w:rPr>
            <w:fldChar w:fldCharType="end"/>
          </w:r>
        </w:p>
        <w:p w14:paraId="4090A59B">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_Toc25907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2.5.4 作业人员培训情况</w:t>
          </w:r>
          <w:r>
            <w:tab/>
          </w:r>
          <w:r>
            <w:fldChar w:fldCharType="begin"/>
          </w:r>
          <w:r>
            <w:instrText xml:space="preserve"> PAGEREF _Toc25907 \h </w:instrText>
          </w:r>
          <w:r>
            <w:fldChar w:fldCharType="separate"/>
          </w:r>
          <w:r>
            <w:t>- 23 -</w:t>
          </w:r>
          <w:r>
            <w:fldChar w:fldCharType="end"/>
          </w:r>
          <w:r>
            <w:rPr>
              <w:rFonts w:hint="eastAsia" w:ascii="宋体" w:hAnsi="宋体" w:eastAsia="宋体" w:cs="宋体"/>
              <w:bCs/>
              <w:color w:val="auto"/>
              <w:szCs w:val="36"/>
            </w:rPr>
            <w:fldChar w:fldCharType="end"/>
          </w:r>
        </w:p>
        <w:p w14:paraId="3F24C71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_Toc7719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2.5.5 劳动防护用品配置</w:t>
          </w:r>
          <w:r>
            <w:tab/>
          </w:r>
          <w:r>
            <w:fldChar w:fldCharType="begin"/>
          </w:r>
          <w:r>
            <w:instrText xml:space="preserve"> PAGEREF _Toc7719 \h </w:instrText>
          </w:r>
          <w:r>
            <w:fldChar w:fldCharType="separate"/>
          </w:r>
          <w:r>
            <w:t>- 23 -</w:t>
          </w:r>
          <w:r>
            <w:fldChar w:fldCharType="end"/>
          </w:r>
          <w:r>
            <w:rPr>
              <w:rFonts w:hint="eastAsia" w:ascii="宋体" w:hAnsi="宋体" w:eastAsia="宋体" w:cs="宋体"/>
              <w:bCs/>
              <w:color w:val="auto"/>
              <w:szCs w:val="36"/>
            </w:rPr>
            <w:fldChar w:fldCharType="end"/>
          </w:r>
        </w:p>
        <w:p w14:paraId="489EE9F9">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_Toc10579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2.5.6 工伤保险购买情况</w:t>
          </w:r>
          <w:r>
            <w:tab/>
          </w:r>
          <w:r>
            <w:fldChar w:fldCharType="begin"/>
          </w:r>
          <w:r>
            <w:instrText xml:space="preserve"> PAGEREF _Toc10579 \h </w:instrText>
          </w:r>
          <w:r>
            <w:fldChar w:fldCharType="separate"/>
          </w:r>
          <w:r>
            <w:t>- 23 -</w:t>
          </w:r>
          <w:r>
            <w:fldChar w:fldCharType="end"/>
          </w:r>
          <w:r>
            <w:rPr>
              <w:rFonts w:hint="eastAsia" w:ascii="宋体" w:hAnsi="宋体" w:eastAsia="宋体" w:cs="宋体"/>
              <w:bCs/>
              <w:color w:val="auto"/>
              <w:szCs w:val="36"/>
            </w:rPr>
            <w:fldChar w:fldCharType="end"/>
          </w:r>
        </w:p>
        <w:p w14:paraId="5E29434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_Toc6121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2.5.7 近期运行情况</w:t>
          </w:r>
          <w:r>
            <w:tab/>
          </w:r>
          <w:r>
            <w:fldChar w:fldCharType="begin"/>
          </w:r>
          <w:r>
            <w:instrText xml:space="preserve"> PAGEREF _Toc6121 \h </w:instrText>
          </w:r>
          <w:r>
            <w:fldChar w:fldCharType="separate"/>
          </w:r>
          <w:r>
            <w:t>- 24 -</w:t>
          </w:r>
          <w:r>
            <w:fldChar w:fldCharType="end"/>
          </w:r>
          <w:r>
            <w:rPr>
              <w:rFonts w:hint="eastAsia" w:ascii="宋体" w:hAnsi="宋体" w:eastAsia="宋体" w:cs="宋体"/>
              <w:bCs/>
              <w:color w:val="auto"/>
              <w:szCs w:val="36"/>
            </w:rPr>
            <w:fldChar w:fldCharType="end"/>
          </w:r>
        </w:p>
        <w:p w14:paraId="4758AD51">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_Toc17734 </w:instrText>
          </w:r>
          <w:r>
            <w:rPr>
              <w:rFonts w:hint="eastAsia" w:ascii="宋体" w:hAnsi="宋体" w:eastAsia="宋体" w:cs="宋体"/>
              <w:bCs/>
              <w:szCs w:val="36"/>
            </w:rPr>
            <w:fldChar w:fldCharType="separate"/>
          </w:r>
          <w:r>
            <w:rPr>
              <w:rFonts w:hint="eastAsia" w:ascii="宋体" w:hAnsi="宋体" w:eastAsia="宋体" w:cs="宋体"/>
              <w:bCs/>
              <w:kern w:val="0"/>
              <w:szCs w:val="36"/>
              <w:lang w:val="en-US" w:eastAsia="zh-CN" w:bidi="ar"/>
            </w:rPr>
            <w:t>第3章 危险、有害因素辨识与分析</w:t>
          </w:r>
          <w:r>
            <w:tab/>
          </w:r>
          <w:r>
            <w:fldChar w:fldCharType="begin"/>
          </w:r>
          <w:r>
            <w:instrText xml:space="preserve"> PAGEREF _Toc17734 \h </w:instrText>
          </w:r>
          <w:r>
            <w:fldChar w:fldCharType="separate"/>
          </w:r>
          <w:r>
            <w:t>- 25 -</w:t>
          </w:r>
          <w:r>
            <w:fldChar w:fldCharType="end"/>
          </w:r>
          <w:r>
            <w:rPr>
              <w:rFonts w:hint="eastAsia" w:ascii="宋体" w:hAnsi="宋体" w:eastAsia="宋体" w:cs="宋体"/>
              <w:bCs/>
              <w:color w:val="auto"/>
              <w:szCs w:val="36"/>
            </w:rPr>
            <w:fldChar w:fldCharType="end"/>
          </w:r>
        </w:p>
        <w:p w14:paraId="06A581D8">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_Toc5511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3.1 辨识与分析的目的</w:t>
          </w:r>
          <w:r>
            <w:tab/>
          </w:r>
          <w:r>
            <w:fldChar w:fldCharType="begin"/>
          </w:r>
          <w:r>
            <w:instrText xml:space="preserve"> PAGEREF _Toc5511 \h </w:instrText>
          </w:r>
          <w:r>
            <w:fldChar w:fldCharType="separate"/>
          </w:r>
          <w:r>
            <w:t>- 25 -</w:t>
          </w:r>
          <w:r>
            <w:fldChar w:fldCharType="end"/>
          </w:r>
          <w:r>
            <w:rPr>
              <w:rFonts w:hint="eastAsia" w:ascii="宋体" w:hAnsi="宋体" w:eastAsia="宋体" w:cs="宋体"/>
              <w:bCs/>
              <w:color w:val="auto"/>
              <w:szCs w:val="36"/>
            </w:rPr>
            <w:fldChar w:fldCharType="end"/>
          </w:r>
        </w:p>
        <w:p w14:paraId="4DD2D3B8">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_Toc4265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3.2 辨识与分析的方法</w:t>
          </w:r>
          <w:r>
            <w:tab/>
          </w:r>
          <w:r>
            <w:fldChar w:fldCharType="begin"/>
          </w:r>
          <w:r>
            <w:instrText xml:space="preserve"> PAGEREF _Toc4265 \h </w:instrText>
          </w:r>
          <w:r>
            <w:fldChar w:fldCharType="separate"/>
          </w:r>
          <w:r>
            <w:t>- 25 -</w:t>
          </w:r>
          <w:r>
            <w:fldChar w:fldCharType="end"/>
          </w:r>
          <w:r>
            <w:rPr>
              <w:rFonts w:hint="eastAsia" w:ascii="宋体" w:hAnsi="宋体" w:eastAsia="宋体" w:cs="宋体"/>
              <w:bCs/>
              <w:color w:val="auto"/>
              <w:szCs w:val="36"/>
            </w:rPr>
            <w:fldChar w:fldCharType="end"/>
          </w:r>
        </w:p>
        <w:p w14:paraId="198CFDBC">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_Toc15554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3.3 生产工艺过程的危险、有害因素</w:t>
          </w:r>
          <w:r>
            <w:tab/>
          </w:r>
          <w:r>
            <w:fldChar w:fldCharType="begin"/>
          </w:r>
          <w:r>
            <w:instrText xml:space="preserve"> PAGEREF _Toc15554 \h </w:instrText>
          </w:r>
          <w:r>
            <w:fldChar w:fldCharType="separate"/>
          </w:r>
          <w:r>
            <w:t>- 26 -</w:t>
          </w:r>
          <w:r>
            <w:fldChar w:fldCharType="end"/>
          </w:r>
          <w:r>
            <w:rPr>
              <w:rFonts w:hint="eastAsia" w:ascii="宋体" w:hAnsi="宋体" w:eastAsia="宋体" w:cs="宋体"/>
              <w:bCs/>
              <w:color w:val="auto"/>
              <w:szCs w:val="36"/>
            </w:rPr>
            <w:fldChar w:fldCharType="end"/>
          </w:r>
        </w:p>
        <w:p w14:paraId="1C68664C">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_Toc31857 </w:instrText>
          </w:r>
          <w:r>
            <w:rPr>
              <w:rFonts w:hint="eastAsia" w:ascii="宋体" w:hAnsi="宋体" w:eastAsia="宋体" w:cs="宋体"/>
              <w:bCs/>
              <w:szCs w:val="36"/>
            </w:rPr>
            <w:fldChar w:fldCharType="separate"/>
          </w:r>
          <w:r>
            <w:rPr>
              <w:rFonts w:hint="eastAsia"/>
              <w:bCs/>
              <w:szCs w:val="28"/>
              <w:lang w:val="en-US" w:eastAsia="zh-CN"/>
            </w:rPr>
            <w:t>3.3.1物体打击</w:t>
          </w:r>
          <w:r>
            <w:tab/>
          </w:r>
          <w:r>
            <w:fldChar w:fldCharType="begin"/>
          </w:r>
          <w:r>
            <w:instrText xml:space="preserve"> PAGEREF _Toc31857 \h </w:instrText>
          </w:r>
          <w:r>
            <w:fldChar w:fldCharType="separate"/>
          </w:r>
          <w:r>
            <w:t>- 26 -</w:t>
          </w:r>
          <w:r>
            <w:fldChar w:fldCharType="end"/>
          </w:r>
          <w:r>
            <w:rPr>
              <w:rFonts w:hint="eastAsia" w:ascii="宋体" w:hAnsi="宋体" w:eastAsia="宋体" w:cs="宋体"/>
              <w:bCs/>
              <w:color w:val="auto"/>
              <w:szCs w:val="36"/>
            </w:rPr>
            <w:fldChar w:fldCharType="end"/>
          </w:r>
        </w:p>
        <w:p w14:paraId="7CF7544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_Toc23585 </w:instrText>
          </w:r>
          <w:r>
            <w:rPr>
              <w:rFonts w:hint="eastAsia" w:ascii="宋体" w:hAnsi="宋体" w:eastAsia="宋体" w:cs="宋体"/>
              <w:bCs/>
              <w:szCs w:val="36"/>
            </w:rPr>
            <w:fldChar w:fldCharType="separate"/>
          </w:r>
          <w:r>
            <w:rPr>
              <w:rFonts w:hint="eastAsia"/>
              <w:bCs/>
              <w:szCs w:val="28"/>
              <w:lang w:val="en-US" w:eastAsia="zh-CN"/>
            </w:rPr>
            <w:t>3.3.2车辆伤害</w:t>
          </w:r>
          <w:r>
            <w:tab/>
          </w:r>
          <w:r>
            <w:fldChar w:fldCharType="begin"/>
          </w:r>
          <w:r>
            <w:instrText xml:space="preserve"> PAGEREF _Toc23585 \h </w:instrText>
          </w:r>
          <w:r>
            <w:fldChar w:fldCharType="separate"/>
          </w:r>
          <w:r>
            <w:t>- 27 -</w:t>
          </w:r>
          <w:r>
            <w:fldChar w:fldCharType="end"/>
          </w:r>
          <w:r>
            <w:rPr>
              <w:rFonts w:hint="eastAsia" w:ascii="宋体" w:hAnsi="宋体" w:eastAsia="宋体" w:cs="宋体"/>
              <w:bCs/>
              <w:color w:val="auto"/>
              <w:szCs w:val="36"/>
            </w:rPr>
            <w:fldChar w:fldCharType="end"/>
          </w:r>
        </w:p>
        <w:p w14:paraId="06F750EE">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_Toc24772 </w:instrText>
          </w:r>
          <w:r>
            <w:rPr>
              <w:rFonts w:hint="eastAsia" w:ascii="宋体" w:hAnsi="宋体" w:eastAsia="宋体" w:cs="宋体"/>
              <w:bCs/>
              <w:szCs w:val="36"/>
            </w:rPr>
            <w:fldChar w:fldCharType="separate"/>
          </w:r>
          <w:r>
            <w:rPr>
              <w:rFonts w:hint="eastAsia"/>
              <w:bCs/>
              <w:szCs w:val="28"/>
              <w:lang w:val="en-US" w:eastAsia="zh-CN"/>
            </w:rPr>
            <w:t>3.3.3机械伤害</w:t>
          </w:r>
          <w:r>
            <w:tab/>
          </w:r>
          <w:r>
            <w:fldChar w:fldCharType="begin"/>
          </w:r>
          <w:r>
            <w:instrText xml:space="preserve"> PAGEREF _Toc24772 \h </w:instrText>
          </w:r>
          <w:r>
            <w:fldChar w:fldCharType="separate"/>
          </w:r>
          <w:r>
            <w:t>- 28 -</w:t>
          </w:r>
          <w:r>
            <w:fldChar w:fldCharType="end"/>
          </w:r>
          <w:r>
            <w:rPr>
              <w:rFonts w:hint="eastAsia" w:ascii="宋体" w:hAnsi="宋体" w:eastAsia="宋体" w:cs="宋体"/>
              <w:bCs/>
              <w:color w:val="auto"/>
              <w:szCs w:val="36"/>
            </w:rPr>
            <w:fldChar w:fldCharType="end"/>
          </w:r>
        </w:p>
        <w:p w14:paraId="3E1B59F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_Toc10229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3.3.4 起重伤害</w:t>
          </w:r>
          <w:r>
            <w:tab/>
          </w:r>
          <w:r>
            <w:fldChar w:fldCharType="begin"/>
          </w:r>
          <w:r>
            <w:instrText xml:space="preserve"> PAGEREF _Toc10229 \h </w:instrText>
          </w:r>
          <w:r>
            <w:fldChar w:fldCharType="separate"/>
          </w:r>
          <w:r>
            <w:t>- 29 -</w:t>
          </w:r>
          <w:r>
            <w:fldChar w:fldCharType="end"/>
          </w:r>
          <w:r>
            <w:rPr>
              <w:rFonts w:hint="eastAsia" w:ascii="宋体" w:hAnsi="宋体" w:eastAsia="宋体" w:cs="宋体"/>
              <w:bCs/>
              <w:color w:val="auto"/>
              <w:szCs w:val="36"/>
            </w:rPr>
            <w:fldChar w:fldCharType="end"/>
          </w:r>
        </w:p>
        <w:p w14:paraId="59E32D9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_Toc21128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3.3.5 触电</w:t>
          </w:r>
          <w:r>
            <w:tab/>
          </w:r>
          <w:r>
            <w:fldChar w:fldCharType="begin"/>
          </w:r>
          <w:r>
            <w:instrText xml:space="preserve"> PAGEREF _Toc21128 \h </w:instrText>
          </w:r>
          <w:r>
            <w:fldChar w:fldCharType="separate"/>
          </w:r>
          <w:r>
            <w:t>- 29 -</w:t>
          </w:r>
          <w:r>
            <w:fldChar w:fldCharType="end"/>
          </w:r>
          <w:r>
            <w:rPr>
              <w:rFonts w:hint="eastAsia" w:ascii="宋体" w:hAnsi="宋体" w:eastAsia="宋体" w:cs="宋体"/>
              <w:bCs/>
              <w:color w:val="auto"/>
              <w:szCs w:val="36"/>
            </w:rPr>
            <w:fldChar w:fldCharType="end"/>
          </w:r>
        </w:p>
        <w:p w14:paraId="19DD9F5F">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_Toc5136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3.3.6 火灾</w:t>
          </w:r>
          <w:r>
            <w:tab/>
          </w:r>
          <w:r>
            <w:fldChar w:fldCharType="begin"/>
          </w:r>
          <w:r>
            <w:instrText xml:space="preserve"> PAGEREF _Toc5136 \h </w:instrText>
          </w:r>
          <w:r>
            <w:fldChar w:fldCharType="separate"/>
          </w:r>
          <w:r>
            <w:t>- 31 -</w:t>
          </w:r>
          <w:r>
            <w:fldChar w:fldCharType="end"/>
          </w:r>
          <w:r>
            <w:rPr>
              <w:rFonts w:hint="eastAsia" w:ascii="宋体" w:hAnsi="宋体" w:eastAsia="宋体" w:cs="宋体"/>
              <w:bCs/>
              <w:color w:val="auto"/>
              <w:szCs w:val="36"/>
            </w:rPr>
            <w:fldChar w:fldCharType="end"/>
          </w:r>
        </w:p>
        <w:p w14:paraId="45FEB08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_Toc1696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3.3.7高处坠落</w:t>
          </w:r>
          <w:r>
            <w:tab/>
          </w:r>
          <w:r>
            <w:fldChar w:fldCharType="begin"/>
          </w:r>
          <w:r>
            <w:instrText xml:space="preserve"> PAGEREF _Toc1696 \h </w:instrText>
          </w:r>
          <w:r>
            <w:fldChar w:fldCharType="separate"/>
          </w:r>
          <w:r>
            <w:t>- 31 -</w:t>
          </w:r>
          <w:r>
            <w:fldChar w:fldCharType="end"/>
          </w:r>
          <w:r>
            <w:rPr>
              <w:rFonts w:hint="eastAsia" w:ascii="宋体" w:hAnsi="宋体" w:eastAsia="宋体" w:cs="宋体"/>
              <w:bCs/>
              <w:color w:val="auto"/>
              <w:szCs w:val="36"/>
            </w:rPr>
            <w:fldChar w:fldCharType="end"/>
          </w:r>
        </w:p>
        <w:p w14:paraId="266CB5B1">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_Toc22691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3.3.8坍塌</w:t>
          </w:r>
          <w:r>
            <w:tab/>
          </w:r>
          <w:r>
            <w:fldChar w:fldCharType="begin"/>
          </w:r>
          <w:r>
            <w:instrText xml:space="preserve"> PAGEREF _Toc22691 \h </w:instrText>
          </w:r>
          <w:r>
            <w:fldChar w:fldCharType="separate"/>
          </w:r>
          <w:r>
            <w:t>- 32 -</w:t>
          </w:r>
          <w:r>
            <w:fldChar w:fldCharType="end"/>
          </w:r>
          <w:r>
            <w:rPr>
              <w:rFonts w:hint="eastAsia" w:ascii="宋体" w:hAnsi="宋体" w:eastAsia="宋体" w:cs="宋体"/>
              <w:bCs/>
              <w:color w:val="auto"/>
              <w:szCs w:val="36"/>
            </w:rPr>
            <w:fldChar w:fldCharType="end"/>
          </w:r>
        </w:p>
        <w:p w14:paraId="47FE7224">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_Toc14325 </w:instrText>
          </w:r>
          <w:r>
            <w:rPr>
              <w:rFonts w:hint="eastAsia" w:ascii="宋体" w:hAnsi="宋体" w:eastAsia="宋体" w:cs="宋体"/>
              <w:bCs/>
              <w:szCs w:val="36"/>
            </w:rPr>
            <w:fldChar w:fldCharType="separate"/>
          </w:r>
          <w:r>
            <w:rPr>
              <w:rFonts w:hint="eastAsia" w:ascii="宋体" w:hAnsi="宋体" w:eastAsia="宋体" w:cs="宋体"/>
              <w:bCs/>
              <w:szCs w:val="30"/>
              <w:lang w:val="en-US" w:eastAsia="zh-CN"/>
            </w:rPr>
            <w:t>3.4</w:t>
          </w:r>
          <w:r>
            <w:rPr>
              <w:rFonts w:hint="eastAsia" w:ascii="宋体" w:hAnsi="宋体" w:eastAsia="宋体" w:cs="宋体"/>
              <w:bCs/>
              <w:snapToGrid w:val="0"/>
              <w:kern w:val="0"/>
              <w:szCs w:val="30"/>
            </w:rPr>
            <w:t>公辅设施的危险有害因素辨识</w:t>
          </w:r>
          <w:r>
            <w:tab/>
          </w:r>
          <w:r>
            <w:fldChar w:fldCharType="begin"/>
          </w:r>
          <w:r>
            <w:instrText xml:space="preserve"> PAGEREF _Toc14325 \h </w:instrText>
          </w:r>
          <w:r>
            <w:fldChar w:fldCharType="separate"/>
          </w:r>
          <w:r>
            <w:t>- 33 -</w:t>
          </w:r>
          <w:r>
            <w:fldChar w:fldCharType="end"/>
          </w:r>
          <w:r>
            <w:rPr>
              <w:rFonts w:hint="eastAsia" w:ascii="宋体" w:hAnsi="宋体" w:eastAsia="宋体" w:cs="宋体"/>
              <w:bCs/>
              <w:color w:val="auto"/>
              <w:szCs w:val="36"/>
            </w:rPr>
            <w:fldChar w:fldCharType="end"/>
          </w:r>
        </w:p>
        <w:p w14:paraId="3938348B">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_Toc25248 </w:instrText>
          </w:r>
          <w:r>
            <w:rPr>
              <w:rFonts w:hint="eastAsia" w:ascii="宋体" w:hAnsi="宋体" w:eastAsia="宋体" w:cs="宋体"/>
              <w:bCs/>
              <w:szCs w:val="36"/>
            </w:rPr>
            <w:fldChar w:fldCharType="separate"/>
          </w:r>
          <w:r>
            <w:rPr>
              <w:rFonts w:hint="eastAsia" w:ascii="宋体" w:hAnsi="宋体" w:eastAsia="宋体" w:cs="宋体"/>
              <w:bCs/>
              <w:snapToGrid w:val="0"/>
              <w:kern w:val="0"/>
              <w:szCs w:val="30"/>
              <w:lang w:val="en-US" w:eastAsia="zh-CN"/>
            </w:rPr>
            <w:t>3.5</w:t>
          </w:r>
          <w:r>
            <w:rPr>
              <w:rFonts w:hint="eastAsia" w:ascii="宋体" w:hAnsi="宋体" w:eastAsia="宋体" w:cs="宋体"/>
              <w:bCs/>
              <w:snapToGrid w:val="0"/>
              <w:kern w:val="0"/>
              <w:szCs w:val="30"/>
            </w:rPr>
            <w:t>检维修过程的危险有害因素辨识</w:t>
          </w:r>
          <w:r>
            <w:tab/>
          </w:r>
          <w:r>
            <w:fldChar w:fldCharType="begin"/>
          </w:r>
          <w:r>
            <w:instrText xml:space="preserve"> PAGEREF _Toc25248 \h </w:instrText>
          </w:r>
          <w:r>
            <w:fldChar w:fldCharType="separate"/>
          </w:r>
          <w:r>
            <w:t>- 36 -</w:t>
          </w:r>
          <w:r>
            <w:fldChar w:fldCharType="end"/>
          </w:r>
          <w:r>
            <w:rPr>
              <w:rFonts w:hint="eastAsia" w:ascii="宋体" w:hAnsi="宋体" w:eastAsia="宋体" w:cs="宋体"/>
              <w:bCs/>
              <w:color w:val="auto"/>
              <w:szCs w:val="36"/>
            </w:rPr>
            <w:fldChar w:fldCharType="end"/>
          </w:r>
        </w:p>
        <w:p w14:paraId="119B185F">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_Toc28332 </w:instrText>
          </w:r>
          <w:r>
            <w:rPr>
              <w:rFonts w:hint="eastAsia" w:ascii="宋体" w:hAnsi="宋体" w:eastAsia="宋体" w:cs="宋体"/>
              <w:bCs/>
              <w:szCs w:val="36"/>
            </w:rPr>
            <w:fldChar w:fldCharType="separate"/>
          </w:r>
          <w:r>
            <w:rPr>
              <w:rFonts w:hint="eastAsia" w:ascii="宋体" w:hAnsi="宋体" w:eastAsia="宋体" w:cs="宋体"/>
              <w:bCs/>
              <w:szCs w:val="30"/>
              <w:lang w:val="en-US" w:eastAsia="zh-CN"/>
            </w:rPr>
            <w:t>3.6危险、有害物质辨识</w:t>
          </w:r>
          <w:r>
            <w:tab/>
          </w:r>
          <w:r>
            <w:fldChar w:fldCharType="begin"/>
          </w:r>
          <w:r>
            <w:instrText xml:space="preserve"> PAGEREF _Toc28332 \h </w:instrText>
          </w:r>
          <w:r>
            <w:fldChar w:fldCharType="separate"/>
          </w:r>
          <w:r>
            <w:t>- 37 -</w:t>
          </w:r>
          <w:r>
            <w:fldChar w:fldCharType="end"/>
          </w:r>
          <w:r>
            <w:rPr>
              <w:rFonts w:hint="eastAsia" w:ascii="宋体" w:hAnsi="宋体" w:eastAsia="宋体" w:cs="宋体"/>
              <w:bCs/>
              <w:color w:val="auto"/>
              <w:szCs w:val="36"/>
            </w:rPr>
            <w:fldChar w:fldCharType="end"/>
          </w:r>
        </w:p>
        <w:p w14:paraId="3E60662E">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_Toc13454 </w:instrText>
          </w:r>
          <w:r>
            <w:rPr>
              <w:rFonts w:hint="eastAsia" w:ascii="宋体" w:hAnsi="宋体" w:eastAsia="宋体" w:cs="宋体"/>
              <w:bCs/>
              <w:szCs w:val="36"/>
            </w:rPr>
            <w:fldChar w:fldCharType="separate"/>
          </w:r>
          <w:r>
            <w:rPr>
              <w:rFonts w:hint="eastAsia" w:ascii="宋体" w:hAnsi="宋体" w:eastAsia="宋体" w:cs="宋体"/>
              <w:bCs/>
              <w:szCs w:val="30"/>
              <w:lang w:val="en-US" w:eastAsia="zh-CN"/>
            </w:rPr>
            <w:t>3.7特殊作业危险、有害因素辨识与分析</w:t>
          </w:r>
          <w:r>
            <w:tab/>
          </w:r>
          <w:r>
            <w:fldChar w:fldCharType="begin"/>
          </w:r>
          <w:r>
            <w:instrText xml:space="preserve"> PAGEREF _Toc13454 \h </w:instrText>
          </w:r>
          <w:r>
            <w:fldChar w:fldCharType="separate"/>
          </w:r>
          <w:r>
            <w:t>- 38 -</w:t>
          </w:r>
          <w:r>
            <w:fldChar w:fldCharType="end"/>
          </w:r>
          <w:r>
            <w:rPr>
              <w:rFonts w:hint="eastAsia" w:ascii="宋体" w:hAnsi="宋体" w:eastAsia="宋体" w:cs="宋体"/>
              <w:bCs/>
              <w:color w:val="auto"/>
              <w:szCs w:val="36"/>
            </w:rPr>
            <w:fldChar w:fldCharType="end"/>
          </w:r>
        </w:p>
        <w:p w14:paraId="2041B5D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_Toc14916 </w:instrText>
          </w:r>
          <w:r>
            <w:rPr>
              <w:rFonts w:hint="eastAsia" w:ascii="宋体" w:hAnsi="宋体" w:eastAsia="宋体" w:cs="宋体"/>
              <w:bCs/>
              <w:szCs w:val="36"/>
            </w:rPr>
            <w:fldChar w:fldCharType="separate"/>
          </w:r>
          <w:r>
            <w:rPr>
              <w:rFonts w:hint="eastAsia" w:ascii="宋体" w:hAnsi="宋体" w:eastAsia="宋体" w:cs="宋体"/>
              <w:bCs/>
              <w:szCs w:val="28"/>
              <w:lang w:val="en-US" w:eastAsia="zh-CN"/>
            </w:rPr>
            <w:t>3.7.1</w:t>
          </w:r>
          <w:r>
            <w:rPr>
              <w:rFonts w:hint="eastAsia" w:hAnsi="宋体" w:cs="宋体"/>
              <w:bCs/>
              <w:szCs w:val="28"/>
              <w:lang w:val="en-US" w:eastAsia="zh-CN"/>
            </w:rPr>
            <w:t>动火作业</w:t>
          </w:r>
          <w:r>
            <w:tab/>
          </w:r>
          <w:r>
            <w:fldChar w:fldCharType="begin"/>
          </w:r>
          <w:r>
            <w:instrText xml:space="preserve"> PAGEREF _Toc14916 \h </w:instrText>
          </w:r>
          <w:r>
            <w:fldChar w:fldCharType="separate"/>
          </w:r>
          <w:r>
            <w:t>- 38 -</w:t>
          </w:r>
          <w:r>
            <w:fldChar w:fldCharType="end"/>
          </w:r>
          <w:r>
            <w:rPr>
              <w:rFonts w:hint="eastAsia" w:ascii="宋体" w:hAnsi="宋体" w:eastAsia="宋体" w:cs="宋体"/>
              <w:bCs/>
              <w:color w:val="auto"/>
              <w:szCs w:val="36"/>
            </w:rPr>
            <w:fldChar w:fldCharType="end"/>
          </w:r>
        </w:p>
        <w:p w14:paraId="25962FA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_Toc8893 </w:instrText>
          </w:r>
          <w:r>
            <w:rPr>
              <w:rFonts w:hint="eastAsia" w:ascii="宋体" w:hAnsi="宋体" w:eastAsia="宋体" w:cs="宋体"/>
              <w:bCs/>
              <w:szCs w:val="36"/>
            </w:rPr>
            <w:fldChar w:fldCharType="separate"/>
          </w:r>
          <w:r>
            <w:rPr>
              <w:rFonts w:hint="eastAsia" w:hAnsi="宋体" w:cs="宋体"/>
              <w:bCs/>
              <w:szCs w:val="28"/>
              <w:lang w:val="en-US" w:eastAsia="zh-CN"/>
            </w:rPr>
            <w:t>3.7.2临时用电作业</w:t>
          </w:r>
          <w:r>
            <w:tab/>
          </w:r>
          <w:r>
            <w:fldChar w:fldCharType="begin"/>
          </w:r>
          <w:r>
            <w:instrText xml:space="preserve"> PAGEREF _Toc8893 \h </w:instrText>
          </w:r>
          <w:r>
            <w:fldChar w:fldCharType="separate"/>
          </w:r>
          <w:r>
            <w:t>- 40 -</w:t>
          </w:r>
          <w:r>
            <w:fldChar w:fldCharType="end"/>
          </w:r>
          <w:r>
            <w:rPr>
              <w:rFonts w:hint="eastAsia" w:ascii="宋体" w:hAnsi="宋体" w:eastAsia="宋体" w:cs="宋体"/>
              <w:bCs/>
              <w:color w:val="auto"/>
              <w:szCs w:val="36"/>
            </w:rPr>
            <w:fldChar w:fldCharType="end"/>
          </w:r>
        </w:p>
        <w:p w14:paraId="0B4B157E">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_Toc15729 </w:instrText>
          </w:r>
          <w:r>
            <w:rPr>
              <w:rFonts w:hint="eastAsia" w:ascii="宋体" w:hAnsi="宋体" w:eastAsia="宋体" w:cs="宋体"/>
              <w:bCs/>
              <w:szCs w:val="36"/>
            </w:rPr>
            <w:fldChar w:fldCharType="separate"/>
          </w:r>
          <w:r>
            <w:rPr>
              <w:rFonts w:hint="eastAsia" w:ascii="宋体" w:hAnsi="宋体" w:eastAsia="宋体" w:cs="宋体"/>
              <w:bCs/>
              <w:szCs w:val="30"/>
              <w:lang w:val="en-US" w:eastAsia="zh-CN"/>
            </w:rPr>
            <w:t>3</w:t>
          </w:r>
          <w:r>
            <w:rPr>
              <w:rFonts w:hint="eastAsia" w:ascii="宋体" w:hAnsi="宋体" w:eastAsia="宋体" w:cs="宋体"/>
              <w:bCs/>
              <w:szCs w:val="30"/>
            </w:rPr>
            <w:t>.</w:t>
          </w:r>
          <w:r>
            <w:rPr>
              <w:rFonts w:hint="eastAsia" w:hAnsi="宋体" w:cs="宋体"/>
              <w:bCs/>
              <w:szCs w:val="30"/>
              <w:lang w:val="en-US" w:eastAsia="zh-CN"/>
            </w:rPr>
            <w:t>8</w:t>
          </w:r>
          <w:r>
            <w:rPr>
              <w:rFonts w:hint="eastAsia" w:ascii="宋体" w:hAnsi="宋体" w:eastAsia="宋体" w:cs="宋体"/>
              <w:bCs/>
              <w:szCs w:val="30"/>
            </w:rPr>
            <w:t>重大危险源辨识</w:t>
          </w:r>
          <w:r>
            <w:tab/>
          </w:r>
          <w:r>
            <w:fldChar w:fldCharType="begin"/>
          </w:r>
          <w:r>
            <w:instrText xml:space="preserve"> PAGEREF _Toc15729 \h </w:instrText>
          </w:r>
          <w:r>
            <w:fldChar w:fldCharType="separate"/>
          </w:r>
          <w:r>
            <w:t>- 40 -</w:t>
          </w:r>
          <w:r>
            <w:fldChar w:fldCharType="end"/>
          </w:r>
          <w:r>
            <w:rPr>
              <w:rFonts w:hint="eastAsia" w:ascii="宋体" w:hAnsi="宋体" w:eastAsia="宋体" w:cs="宋体"/>
              <w:bCs/>
              <w:color w:val="auto"/>
              <w:szCs w:val="36"/>
            </w:rPr>
            <w:fldChar w:fldCharType="end"/>
          </w:r>
        </w:p>
        <w:p w14:paraId="1B4815A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_Toc28204 </w:instrText>
          </w:r>
          <w:r>
            <w:rPr>
              <w:rFonts w:hint="eastAsia" w:ascii="宋体" w:hAnsi="宋体" w:eastAsia="宋体" w:cs="宋体"/>
              <w:bCs/>
              <w:szCs w:val="36"/>
            </w:rPr>
            <w:fldChar w:fldCharType="separate"/>
          </w:r>
          <w:r>
            <w:rPr>
              <w:rFonts w:hint="eastAsia" w:ascii="宋体" w:hAnsi="宋体" w:eastAsia="宋体" w:cs="宋体"/>
              <w:bCs/>
              <w:szCs w:val="28"/>
              <w:lang w:val="en-US" w:eastAsia="zh-CN"/>
            </w:rPr>
            <w:t>3.</w:t>
          </w:r>
          <w:r>
            <w:rPr>
              <w:rFonts w:hint="eastAsia" w:hAnsi="宋体" w:cs="宋体"/>
              <w:bCs/>
              <w:szCs w:val="28"/>
              <w:lang w:val="en-US" w:eastAsia="zh-CN"/>
            </w:rPr>
            <w:t>8</w:t>
          </w:r>
          <w:r>
            <w:rPr>
              <w:rFonts w:hint="eastAsia" w:ascii="宋体" w:hAnsi="宋体" w:eastAsia="宋体" w:cs="宋体"/>
              <w:bCs/>
              <w:szCs w:val="28"/>
              <w:lang w:val="en-US" w:eastAsia="zh-CN"/>
            </w:rPr>
            <w:t>.1</w:t>
          </w:r>
          <w:r>
            <w:rPr>
              <w:rFonts w:hint="eastAsia" w:ascii="宋体" w:hAnsi="宋体" w:eastAsia="宋体" w:cs="宋体"/>
              <w:bCs/>
              <w:szCs w:val="28"/>
            </w:rPr>
            <w:t>重大危险源辨识方法</w:t>
          </w:r>
          <w:r>
            <w:tab/>
          </w:r>
          <w:r>
            <w:fldChar w:fldCharType="begin"/>
          </w:r>
          <w:r>
            <w:instrText xml:space="preserve"> PAGEREF _Toc28204 \h </w:instrText>
          </w:r>
          <w:r>
            <w:fldChar w:fldCharType="separate"/>
          </w:r>
          <w:r>
            <w:t>- 40 -</w:t>
          </w:r>
          <w:r>
            <w:fldChar w:fldCharType="end"/>
          </w:r>
          <w:r>
            <w:rPr>
              <w:rFonts w:hint="eastAsia" w:ascii="宋体" w:hAnsi="宋体" w:eastAsia="宋体" w:cs="宋体"/>
              <w:bCs/>
              <w:color w:val="auto"/>
              <w:szCs w:val="36"/>
            </w:rPr>
            <w:fldChar w:fldCharType="end"/>
          </w:r>
        </w:p>
        <w:p w14:paraId="6D5D45C7">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_Toc8678 </w:instrText>
          </w:r>
          <w:r>
            <w:rPr>
              <w:rFonts w:hint="eastAsia" w:ascii="宋体" w:hAnsi="宋体" w:eastAsia="宋体" w:cs="宋体"/>
              <w:bCs/>
              <w:szCs w:val="36"/>
            </w:rPr>
            <w:fldChar w:fldCharType="separate"/>
          </w:r>
          <w:r>
            <w:rPr>
              <w:rFonts w:hint="eastAsia" w:ascii="宋体" w:hAnsi="宋体" w:eastAsia="宋体" w:cs="宋体"/>
              <w:bCs/>
              <w:kern w:val="0"/>
              <w:szCs w:val="36"/>
              <w:lang w:val="en-US" w:eastAsia="zh-CN" w:bidi="ar"/>
            </w:rPr>
            <w:t>第 4 章 评价单元的划分和评价方法的选择</w:t>
          </w:r>
          <w:r>
            <w:tab/>
          </w:r>
          <w:r>
            <w:fldChar w:fldCharType="begin"/>
          </w:r>
          <w:r>
            <w:instrText xml:space="preserve"> PAGEREF _Toc8678 \h </w:instrText>
          </w:r>
          <w:r>
            <w:fldChar w:fldCharType="separate"/>
          </w:r>
          <w:r>
            <w:t>- 43 -</w:t>
          </w:r>
          <w:r>
            <w:fldChar w:fldCharType="end"/>
          </w:r>
          <w:r>
            <w:rPr>
              <w:rFonts w:hint="eastAsia" w:ascii="宋体" w:hAnsi="宋体" w:eastAsia="宋体" w:cs="宋体"/>
              <w:bCs/>
              <w:color w:val="auto"/>
              <w:szCs w:val="36"/>
            </w:rPr>
            <w:fldChar w:fldCharType="end"/>
          </w:r>
        </w:p>
        <w:p w14:paraId="76D13E06">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_Toc7083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4.1 评价单元的划分</w:t>
          </w:r>
          <w:r>
            <w:tab/>
          </w:r>
          <w:r>
            <w:fldChar w:fldCharType="begin"/>
          </w:r>
          <w:r>
            <w:instrText xml:space="preserve"> PAGEREF _Toc7083 \h </w:instrText>
          </w:r>
          <w:r>
            <w:fldChar w:fldCharType="separate"/>
          </w:r>
          <w:r>
            <w:t>- 43 -</w:t>
          </w:r>
          <w:r>
            <w:fldChar w:fldCharType="end"/>
          </w:r>
          <w:r>
            <w:rPr>
              <w:rFonts w:hint="eastAsia" w:ascii="宋体" w:hAnsi="宋体" w:eastAsia="宋体" w:cs="宋体"/>
              <w:bCs/>
              <w:color w:val="auto"/>
              <w:szCs w:val="36"/>
            </w:rPr>
            <w:fldChar w:fldCharType="end"/>
          </w:r>
        </w:p>
        <w:p w14:paraId="2B6998DD">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_Toc31605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4.1.1 评价单元划分的原则</w:t>
          </w:r>
          <w:r>
            <w:tab/>
          </w:r>
          <w:r>
            <w:fldChar w:fldCharType="begin"/>
          </w:r>
          <w:r>
            <w:instrText xml:space="preserve"> PAGEREF _Toc31605 \h </w:instrText>
          </w:r>
          <w:r>
            <w:fldChar w:fldCharType="separate"/>
          </w:r>
          <w:r>
            <w:t>- 43 -</w:t>
          </w:r>
          <w:r>
            <w:fldChar w:fldCharType="end"/>
          </w:r>
          <w:r>
            <w:rPr>
              <w:rFonts w:hint="eastAsia" w:ascii="宋体" w:hAnsi="宋体" w:eastAsia="宋体" w:cs="宋体"/>
              <w:bCs/>
              <w:color w:val="auto"/>
              <w:szCs w:val="36"/>
            </w:rPr>
            <w:fldChar w:fldCharType="end"/>
          </w:r>
        </w:p>
        <w:p w14:paraId="20EC7178">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_Toc4346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4.1.2 评价单元的划分及理由说明</w:t>
          </w:r>
          <w:r>
            <w:tab/>
          </w:r>
          <w:r>
            <w:fldChar w:fldCharType="begin"/>
          </w:r>
          <w:r>
            <w:instrText xml:space="preserve"> PAGEREF _Toc4346 \h </w:instrText>
          </w:r>
          <w:r>
            <w:fldChar w:fldCharType="separate"/>
          </w:r>
          <w:r>
            <w:t>- 44 -</w:t>
          </w:r>
          <w:r>
            <w:fldChar w:fldCharType="end"/>
          </w:r>
          <w:r>
            <w:rPr>
              <w:rFonts w:hint="eastAsia" w:ascii="宋体" w:hAnsi="宋体" w:eastAsia="宋体" w:cs="宋体"/>
              <w:bCs/>
              <w:color w:val="auto"/>
              <w:szCs w:val="36"/>
            </w:rPr>
            <w:fldChar w:fldCharType="end"/>
          </w:r>
        </w:p>
        <w:p w14:paraId="73E90630">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_Toc7470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4.2 评价方法的选择</w:t>
          </w:r>
          <w:r>
            <w:tab/>
          </w:r>
          <w:r>
            <w:fldChar w:fldCharType="begin"/>
          </w:r>
          <w:r>
            <w:instrText xml:space="preserve"> PAGEREF _Toc7470 \h </w:instrText>
          </w:r>
          <w:r>
            <w:fldChar w:fldCharType="separate"/>
          </w:r>
          <w:r>
            <w:t>- 44 -</w:t>
          </w:r>
          <w:r>
            <w:fldChar w:fldCharType="end"/>
          </w:r>
          <w:r>
            <w:rPr>
              <w:rFonts w:hint="eastAsia" w:ascii="宋体" w:hAnsi="宋体" w:eastAsia="宋体" w:cs="宋体"/>
              <w:bCs/>
              <w:color w:val="auto"/>
              <w:szCs w:val="36"/>
            </w:rPr>
            <w:fldChar w:fldCharType="end"/>
          </w:r>
        </w:p>
        <w:p w14:paraId="0065C583">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_Toc4087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4.2.1 评价方法的选择及理由说明</w:t>
          </w:r>
          <w:r>
            <w:tab/>
          </w:r>
          <w:r>
            <w:fldChar w:fldCharType="begin"/>
          </w:r>
          <w:r>
            <w:instrText xml:space="preserve"> PAGEREF _Toc4087 \h </w:instrText>
          </w:r>
          <w:r>
            <w:fldChar w:fldCharType="separate"/>
          </w:r>
          <w:r>
            <w:t>- 45 -</w:t>
          </w:r>
          <w:r>
            <w:fldChar w:fldCharType="end"/>
          </w:r>
          <w:r>
            <w:rPr>
              <w:rFonts w:hint="eastAsia" w:ascii="宋体" w:hAnsi="宋体" w:eastAsia="宋体" w:cs="宋体"/>
              <w:bCs/>
              <w:color w:val="auto"/>
              <w:szCs w:val="36"/>
            </w:rPr>
            <w:fldChar w:fldCharType="end"/>
          </w:r>
        </w:p>
        <w:p w14:paraId="5307FC1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_Toc14431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4.2.2 评价方法简介</w:t>
          </w:r>
          <w:r>
            <w:tab/>
          </w:r>
          <w:r>
            <w:fldChar w:fldCharType="begin"/>
          </w:r>
          <w:r>
            <w:instrText xml:space="preserve"> PAGEREF _Toc14431 \h </w:instrText>
          </w:r>
          <w:r>
            <w:fldChar w:fldCharType="separate"/>
          </w:r>
          <w:r>
            <w:t>- 46 -</w:t>
          </w:r>
          <w:r>
            <w:fldChar w:fldCharType="end"/>
          </w:r>
          <w:r>
            <w:rPr>
              <w:rFonts w:hint="eastAsia" w:ascii="宋体" w:hAnsi="宋体" w:eastAsia="宋体" w:cs="宋体"/>
              <w:bCs/>
              <w:color w:val="auto"/>
              <w:szCs w:val="36"/>
            </w:rPr>
            <w:fldChar w:fldCharType="end"/>
          </w:r>
        </w:p>
        <w:p w14:paraId="127EBCED">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_Toc10259 </w:instrText>
          </w:r>
          <w:r>
            <w:rPr>
              <w:rFonts w:hint="eastAsia" w:ascii="宋体" w:hAnsi="宋体" w:eastAsia="宋体" w:cs="宋体"/>
              <w:bCs/>
              <w:szCs w:val="36"/>
            </w:rPr>
            <w:fldChar w:fldCharType="separate"/>
          </w:r>
          <w:r>
            <w:rPr>
              <w:rFonts w:hint="eastAsia" w:ascii="宋体" w:hAnsi="宋体" w:eastAsia="宋体" w:cs="宋体"/>
              <w:bCs/>
              <w:kern w:val="0"/>
              <w:szCs w:val="36"/>
              <w:lang w:val="en-US" w:eastAsia="zh-CN" w:bidi="ar"/>
            </w:rPr>
            <w:t>第5章 定性、定量评价</w:t>
          </w:r>
          <w:r>
            <w:tab/>
          </w:r>
          <w:r>
            <w:fldChar w:fldCharType="begin"/>
          </w:r>
          <w:r>
            <w:instrText xml:space="preserve"> PAGEREF _Toc10259 \h </w:instrText>
          </w:r>
          <w:r>
            <w:fldChar w:fldCharType="separate"/>
          </w:r>
          <w:r>
            <w:t>- 51 -</w:t>
          </w:r>
          <w:r>
            <w:fldChar w:fldCharType="end"/>
          </w:r>
          <w:r>
            <w:rPr>
              <w:rFonts w:hint="eastAsia" w:ascii="宋体" w:hAnsi="宋体" w:eastAsia="宋体" w:cs="宋体"/>
              <w:bCs/>
              <w:color w:val="auto"/>
              <w:szCs w:val="36"/>
            </w:rPr>
            <w:fldChar w:fldCharType="end"/>
          </w:r>
        </w:p>
        <w:p w14:paraId="213D7760">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_Toc7328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5.1 选址及总平面布置单元分析评价</w:t>
          </w:r>
          <w:r>
            <w:tab/>
          </w:r>
          <w:r>
            <w:fldChar w:fldCharType="begin"/>
          </w:r>
          <w:r>
            <w:instrText xml:space="preserve"> PAGEREF _Toc7328 \h </w:instrText>
          </w:r>
          <w:r>
            <w:fldChar w:fldCharType="separate"/>
          </w:r>
          <w:r>
            <w:t>- 51 -</w:t>
          </w:r>
          <w:r>
            <w:fldChar w:fldCharType="end"/>
          </w:r>
          <w:r>
            <w:rPr>
              <w:rFonts w:hint="eastAsia" w:ascii="宋体" w:hAnsi="宋体" w:eastAsia="宋体" w:cs="宋体"/>
              <w:bCs/>
              <w:color w:val="auto"/>
              <w:szCs w:val="36"/>
            </w:rPr>
            <w:fldChar w:fldCharType="end"/>
          </w:r>
        </w:p>
        <w:p w14:paraId="454B7B3C">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_Toc14509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5.1.1 选址安全检查分析</w:t>
          </w:r>
          <w:r>
            <w:tab/>
          </w:r>
          <w:r>
            <w:fldChar w:fldCharType="begin"/>
          </w:r>
          <w:r>
            <w:instrText xml:space="preserve"> PAGEREF _Toc14509 \h </w:instrText>
          </w:r>
          <w:r>
            <w:fldChar w:fldCharType="separate"/>
          </w:r>
          <w:r>
            <w:t>- 51 -</w:t>
          </w:r>
          <w:r>
            <w:fldChar w:fldCharType="end"/>
          </w:r>
          <w:r>
            <w:rPr>
              <w:rFonts w:hint="eastAsia" w:ascii="宋体" w:hAnsi="宋体" w:eastAsia="宋体" w:cs="宋体"/>
              <w:bCs/>
              <w:color w:val="auto"/>
              <w:szCs w:val="36"/>
            </w:rPr>
            <w:fldChar w:fldCharType="end"/>
          </w:r>
        </w:p>
        <w:p w14:paraId="3557364C">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_Toc26971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5.1.2 总平面布置安全检查表</w:t>
          </w:r>
          <w:r>
            <w:tab/>
          </w:r>
          <w:r>
            <w:fldChar w:fldCharType="begin"/>
          </w:r>
          <w:r>
            <w:instrText xml:space="preserve"> PAGEREF _Toc26971 \h </w:instrText>
          </w:r>
          <w:r>
            <w:fldChar w:fldCharType="separate"/>
          </w:r>
          <w:r>
            <w:t>- 54 -</w:t>
          </w:r>
          <w:r>
            <w:fldChar w:fldCharType="end"/>
          </w:r>
          <w:r>
            <w:rPr>
              <w:rFonts w:hint="eastAsia" w:ascii="宋体" w:hAnsi="宋体" w:eastAsia="宋体" w:cs="宋体"/>
              <w:bCs/>
              <w:color w:val="auto"/>
              <w:szCs w:val="36"/>
            </w:rPr>
            <w:fldChar w:fldCharType="end"/>
          </w:r>
        </w:p>
        <w:p w14:paraId="256BA5B5">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_Toc13057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5.1.3 单元小结</w:t>
          </w:r>
          <w:r>
            <w:tab/>
          </w:r>
          <w:r>
            <w:fldChar w:fldCharType="begin"/>
          </w:r>
          <w:r>
            <w:instrText xml:space="preserve"> PAGEREF _Toc13057 \h </w:instrText>
          </w:r>
          <w:r>
            <w:fldChar w:fldCharType="separate"/>
          </w:r>
          <w:r>
            <w:t>- 56 -</w:t>
          </w:r>
          <w:r>
            <w:fldChar w:fldCharType="end"/>
          </w:r>
          <w:r>
            <w:rPr>
              <w:rFonts w:hint="eastAsia" w:ascii="宋体" w:hAnsi="宋体" w:eastAsia="宋体" w:cs="宋体"/>
              <w:bCs/>
              <w:color w:val="auto"/>
              <w:szCs w:val="36"/>
            </w:rPr>
            <w:fldChar w:fldCharType="end"/>
          </w:r>
        </w:p>
        <w:p w14:paraId="0D2C39AE">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_Toc17515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5.2 建（构）筑物单元</w:t>
          </w:r>
          <w:r>
            <w:tab/>
          </w:r>
          <w:r>
            <w:fldChar w:fldCharType="begin"/>
          </w:r>
          <w:r>
            <w:instrText xml:space="preserve"> PAGEREF _Toc17515 \h </w:instrText>
          </w:r>
          <w:r>
            <w:fldChar w:fldCharType="separate"/>
          </w:r>
          <w:r>
            <w:t>- 56 -</w:t>
          </w:r>
          <w:r>
            <w:fldChar w:fldCharType="end"/>
          </w:r>
          <w:r>
            <w:rPr>
              <w:rFonts w:hint="eastAsia" w:ascii="宋体" w:hAnsi="宋体" w:eastAsia="宋体" w:cs="宋体"/>
              <w:bCs/>
              <w:color w:val="auto"/>
              <w:szCs w:val="36"/>
            </w:rPr>
            <w:fldChar w:fldCharType="end"/>
          </w:r>
        </w:p>
        <w:p w14:paraId="2A56EEC7">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_Toc203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5.3 生产工艺及设施设备单元</w:t>
          </w:r>
          <w:r>
            <w:tab/>
          </w:r>
          <w:r>
            <w:fldChar w:fldCharType="begin"/>
          </w:r>
          <w:r>
            <w:instrText xml:space="preserve"> PAGEREF _Toc203 \h </w:instrText>
          </w:r>
          <w:r>
            <w:fldChar w:fldCharType="separate"/>
          </w:r>
          <w:r>
            <w:t>- 59 -</w:t>
          </w:r>
          <w:r>
            <w:fldChar w:fldCharType="end"/>
          </w:r>
          <w:r>
            <w:rPr>
              <w:rFonts w:hint="eastAsia" w:ascii="宋体" w:hAnsi="宋体" w:eastAsia="宋体" w:cs="宋体"/>
              <w:bCs/>
              <w:color w:val="auto"/>
              <w:szCs w:val="36"/>
            </w:rPr>
            <w:fldChar w:fldCharType="end"/>
          </w:r>
        </w:p>
        <w:p w14:paraId="64D7F3F2">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_Toc1728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5.3.1 精加工子单元</w:t>
          </w:r>
          <w:r>
            <w:tab/>
          </w:r>
          <w:r>
            <w:fldChar w:fldCharType="begin"/>
          </w:r>
          <w:r>
            <w:instrText xml:space="preserve"> PAGEREF _Toc1728 \h </w:instrText>
          </w:r>
          <w:r>
            <w:fldChar w:fldCharType="separate"/>
          </w:r>
          <w:r>
            <w:t>- 59 -</w:t>
          </w:r>
          <w:r>
            <w:fldChar w:fldCharType="end"/>
          </w:r>
          <w:r>
            <w:rPr>
              <w:rFonts w:hint="eastAsia" w:ascii="宋体" w:hAnsi="宋体" w:eastAsia="宋体" w:cs="宋体"/>
              <w:bCs/>
              <w:color w:val="auto"/>
              <w:szCs w:val="36"/>
            </w:rPr>
            <w:fldChar w:fldCharType="end"/>
          </w:r>
        </w:p>
        <w:p w14:paraId="7D529F4A">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_Toc23763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5.3.2 组装、装配子单元</w:t>
          </w:r>
          <w:r>
            <w:tab/>
          </w:r>
          <w:r>
            <w:fldChar w:fldCharType="begin"/>
          </w:r>
          <w:r>
            <w:instrText xml:space="preserve"> PAGEREF _Toc23763 \h </w:instrText>
          </w:r>
          <w:r>
            <w:fldChar w:fldCharType="separate"/>
          </w:r>
          <w:r>
            <w:t>- 62 -</w:t>
          </w:r>
          <w:r>
            <w:fldChar w:fldCharType="end"/>
          </w:r>
          <w:r>
            <w:rPr>
              <w:rFonts w:hint="eastAsia" w:ascii="宋体" w:hAnsi="宋体" w:eastAsia="宋体" w:cs="宋体"/>
              <w:bCs/>
              <w:color w:val="auto"/>
              <w:szCs w:val="36"/>
            </w:rPr>
            <w:fldChar w:fldCharType="end"/>
          </w:r>
        </w:p>
        <w:p w14:paraId="04C2CD4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_Toc5940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5.3.3 涂油防护子单元</w:t>
          </w:r>
          <w:r>
            <w:tab/>
          </w:r>
          <w:r>
            <w:fldChar w:fldCharType="begin"/>
          </w:r>
          <w:r>
            <w:instrText xml:space="preserve"> PAGEREF _Toc5940 \h </w:instrText>
          </w:r>
          <w:r>
            <w:fldChar w:fldCharType="separate"/>
          </w:r>
          <w:r>
            <w:t>- 63 -</w:t>
          </w:r>
          <w:r>
            <w:fldChar w:fldCharType="end"/>
          </w:r>
          <w:r>
            <w:rPr>
              <w:rFonts w:hint="eastAsia" w:ascii="宋体" w:hAnsi="宋体" w:eastAsia="宋体" w:cs="宋体"/>
              <w:bCs/>
              <w:color w:val="auto"/>
              <w:szCs w:val="36"/>
            </w:rPr>
            <w:fldChar w:fldCharType="end"/>
          </w:r>
        </w:p>
        <w:p w14:paraId="4FBF3DDF">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_Toc5366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w:t>
          </w:r>
          <w:r>
            <w:rPr>
              <w:rFonts w:hint="eastAsia" w:hAnsi="宋体" w:cs="宋体"/>
              <w:bCs/>
              <w:kern w:val="0"/>
              <w:szCs w:val="28"/>
              <w:lang w:val="en-US" w:eastAsia="zh-CN" w:bidi="ar"/>
            </w:rPr>
            <w:t>4</w:t>
          </w:r>
          <w:r>
            <w:rPr>
              <w:rFonts w:hint="eastAsia" w:ascii="宋体" w:hAnsi="宋体" w:eastAsia="宋体" w:cs="宋体"/>
              <w:bCs/>
              <w:kern w:val="0"/>
              <w:szCs w:val="28"/>
              <w:lang w:val="en-US" w:eastAsia="zh-CN" w:bidi="ar"/>
            </w:rPr>
            <w:t xml:space="preserve"> 作业条件危险性分析</w:t>
          </w:r>
          <w:r>
            <w:tab/>
          </w:r>
          <w:r>
            <w:fldChar w:fldCharType="begin"/>
          </w:r>
          <w:r>
            <w:instrText xml:space="preserve"> PAGEREF _Toc5366 \h </w:instrText>
          </w:r>
          <w:r>
            <w:fldChar w:fldCharType="separate"/>
          </w:r>
          <w:r>
            <w:t>- 66 -</w:t>
          </w:r>
          <w:r>
            <w:fldChar w:fldCharType="end"/>
          </w:r>
          <w:r>
            <w:rPr>
              <w:rFonts w:hint="eastAsia" w:ascii="宋体" w:hAnsi="宋体" w:eastAsia="宋体" w:cs="宋体"/>
              <w:bCs/>
              <w:color w:val="auto"/>
              <w:szCs w:val="36"/>
            </w:rPr>
            <w:fldChar w:fldCharType="end"/>
          </w:r>
        </w:p>
        <w:p w14:paraId="702DD94B">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_Toc11505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5.3.</w:t>
          </w:r>
          <w:r>
            <w:rPr>
              <w:rFonts w:hint="eastAsia" w:hAnsi="宋体" w:cs="宋体"/>
              <w:bCs/>
              <w:kern w:val="0"/>
              <w:szCs w:val="28"/>
              <w:lang w:val="en-US" w:eastAsia="zh-CN" w:bidi="ar"/>
            </w:rPr>
            <w:t>5</w:t>
          </w:r>
          <w:r>
            <w:rPr>
              <w:rFonts w:hint="eastAsia" w:ascii="宋体" w:hAnsi="宋体" w:eastAsia="宋体" w:cs="宋体"/>
              <w:bCs/>
              <w:kern w:val="0"/>
              <w:szCs w:val="28"/>
              <w:lang w:val="en-US" w:eastAsia="zh-CN" w:bidi="ar"/>
            </w:rPr>
            <w:t xml:space="preserve"> 单元小结</w:t>
          </w:r>
          <w:r>
            <w:tab/>
          </w:r>
          <w:r>
            <w:fldChar w:fldCharType="begin"/>
          </w:r>
          <w:r>
            <w:instrText xml:space="preserve"> PAGEREF _Toc11505 \h </w:instrText>
          </w:r>
          <w:r>
            <w:fldChar w:fldCharType="separate"/>
          </w:r>
          <w:r>
            <w:t>- 67 -</w:t>
          </w:r>
          <w:r>
            <w:fldChar w:fldCharType="end"/>
          </w:r>
          <w:r>
            <w:rPr>
              <w:rFonts w:hint="eastAsia" w:ascii="宋体" w:hAnsi="宋体" w:eastAsia="宋体" w:cs="宋体"/>
              <w:bCs/>
              <w:color w:val="auto"/>
              <w:szCs w:val="36"/>
            </w:rPr>
            <w:fldChar w:fldCharType="end"/>
          </w:r>
        </w:p>
        <w:p w14:paraId="27CC5E37">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_Toc10607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5.4 公用工程和辅助设施单元</w:t>
          </w:r>
          <w:r>
            <w:tab/>
          </w:r>
          <w:r>
            <w:fldChar w:fldCharType="begin"/>
          </w:r>
          <w:r>
            <w:instrText xml:space="preserve"> PAGEREF _Toc10607 \h </w:instrText>
          </w:r>
          <w:r>
            <w:fldChar w:fldCharType="separate"/>
          </w:r>
          <w:r>
            <w:t>- 67 -</w:t>
          </w:r>
          <w:r>
            <w:fldChar w:fldCharType="end"/>
          </w:r>
          <w:r>
            <w:rPr>
              <w:rFonts w:hint="eastAsia" w:ascii="宋体" w:hAnsi="宋体" w:eastAsia="宋体" w:cs="宋体"/>
              <w:bCs/>
              <w:color w:val="auto"/>
              <w:szCs w:val="36"/>
            </w:rPr>
            <w:fldChar w:fldCharType="end"/>
          </w:r>
        </w:p>
        <w:p w14:paraId="7C7E387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_Toc15893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5.4.1 给排水子单元</w:t>
          </w:r>
          <w:r>
            <w:tab/>
          </w:r>
          <w:r>
            <w:fldChar w:fldCharType="begin"/>
          </w:r>
          <w:r>
            <w:instrText xml:space="preserve"> PAGEREF _Toc15893 \h </w:instrText>
          </w:r>
          <w:r>
            <w:fldChar w:fldCharType="separate"/>
          </w:r>
          <w:r>
            <w:t>- 67 -</w:t>
          </w:r>
          <w:r>
            <w:fldChar w:fldCharType="end"/>
          </w:r>
          <w:r>
            <w:rPr>
              <w:rFonts w:hint="eastAsia" w:ascii="宋体" w:hAnsi="宋体" w:eastAsia="宋体" w:cs="宋体"/>
              <w:bCs/>
              <w:color w:val="auto"/>
              <w:szCs w:val="36"/>
            </w:rPr>
            <w:fldChar w:fldCharType="end"/>
          </w:r>
        </w:p>
        <w:p w14:paraId="1D8748D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_Toc7020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5.4.2 供配电子单元</w:t>
          </w:r>
          <w:r>
            <w:tab/>
          </w:r>
          <w:r>
            <w:fldChar w:fldCharType="begin"/>
          </w:r>
          <w:r>
            <w:instrText xml:space="preserve"> PAGEREF _Toc7020 \h </w:instrText>
          </w:r>
          <w:r>
            <w:fldChar w:fldCharType="separate"/>
          </w:r>
          <w:r>
            <w:t>- 68 -</w:t>
          </w:r>
          <w:r>
            <w:fldChar w:fldCharType="end"/>
          </w:r>
          <w:r>
            <w:rPr>
              <w:rFonts w:hint="eastAsia" w:ascii="宋体" w:hAnsi="宋体" w:eastAsia="宋体" w:cs="宋体"/>
              <w:bCs/>
              <w:color w:val="auto"/>
              <w:szCs w:val="36"/>
            </w:rPr>
            <w:fldChar w:fldCharType="end"/>
          </w:r>
        </w:p>
        <w:p w14:paraId="19BE80DF">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_Toc17537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5.4.3 消防设施子单元</w:t>
          </w:r>
          <w:r>
            <w:tab/>
          </w:r>
          <w:r>
            <w:fldChar w:fldCharType="begin"/>
          </w:r>
          <w:r>
            <w:instrText xml:space="preserve"> PAGEREF _Toc17537 \h </w:instrText>
          </w:r>
          <w:r>
            <w:fldChar w:fldCharType="separate"/>
          </w:r>
          <w:r>
            <w:t>- 70 -</w:t>
          </w:r>
          <w:r>
            <w:fldChar w:fldCharType="end"/>
          </w:r>
          <w:r>
            <w:rPr>
              <w:rFonts w:hint="eastAsia" w:ascii="宋体" w:hAnsi="宋体" w:eastAsia="宋体" w:cs="宋体"/>
              <w:bCs/>
              <w:color w:val="auto"/>
              <w:szCs w:val="36"/>
            </w:rPr>
            <w:fldChar w:fldCharType="end"/>
          </w:r>
        </w:p>
        <w:p w14:paraId="0700BFBE">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_Toc3370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5.4.4物料储存子单元</w:t>
          </w:r>
          <w:r>
            <w:tab/>
          </w:r>
          <w:r>
            <w:fldChar w:fldCharType="begin"/>
          </w:r>
          <w:r>
            <w:instrText xml:space="preserve"> PAGEREF _Toc3370 \h </w:instrText>
          </w:r>
          <w:r>
            <w:fldChar w:fldCharType="separate"/>
          </w:r>
          <w:r>
            <w:t>- 72 -</w:t>
          </w:r>
          <w:r>
            <w:fldChar w:fldCharType="end"/>
          </w:r>
          <w:r>
            <w:rPr>
              <w:rFonts w:hint="eastAsia" w:ascii="宋体" w:hAnsi="宋体" w:eastAsia="宋体" w:cs="宋体"/>
              <w:bCs/>
              <w:color w:val="auto"/>
              <w:szCs w:val="36"/>
            </w:rPr>
            <w:fldChar w:fldCharType="end"/>
          </w:r>
        </w:p>
        <w:p w14:paraId="607763B1">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_Toc4582 </w:instrText>
          </w:r>
          <w:r>
            <w:rPr>
              <w:rFonts w:hint="eastAsia" w:ascii="宋体" w:hAnsi="宋体" w:eastAsia="宋体" w:cs="宋体"/>
              <w:bCs/>
              <w:szCs w:val="36"/>
            </w:rPr>
            <w:fldChar w:fldCharType="separate"/>
          </w:r>
          <w:r>
            <w:rPr>
              <w:rFonts w:hint="eastAsia" w:ascii="宋体" w:hAnsi="宋体" w:eastAsia="宋体" w:cs="宋体"/>
              <w:bCs/>
              <w:snapToGrid w:val="0"/>
              <w:kern w:val="0"/>
              <w:szCs w:val="28"/>
            </w:rPr>
            <w:t>5.</w:t>
          </w:r>
          <w:r>
            <w:rPr>
              <w:rFonts w:hint="eastAsia" w:ascii="宋体" w:hAnsi="宋体" w:eastAsia="宋体" w:cs="宋体"/>
              <w:bCs/>
              <w:snapToGrid w:val="0"/>
              <w:kern w:val="0"/>
              <w:szCs w:val="28"/>
              <w:lang w:val="en-US" w:eastAsia="zh-CN"/>
            </w:rPr>
            <w:t>4</w:t>
          </w:r>
          <w:r>
            <w:rPr>
              <w:rFonts w:hint="eastAsia" w:ascii="宋体" w:hAnsi="宋体" w:eastAsia="宋体" w:cs="宋体"/>
              <w:bCs/>
              <w:snapToGrid w:val="0"/>
              <w:kern w:val="0"/>
              <w:szCs w:val="28"/>
            </w:rPr>
            <w:t>.</w:t>
          </w:r>
          <w:r>
            <w:rPr>
              <w:rFonts w:hint="eastAsia" w:hAnsi="宋体" w:cs="宋体"/>
              <w:bCs/>
              <w:snapToGrid w:val="0"/>
              <w:kern w:val="0"/>
              <w:szCs w:val="28"/>
              <w:lang w:val="en-US" w:eastAsia="zh-CN"/>
            </w:rPr>
            <w:t>5</w:t>
          </w:r>
          <w:r>
            <w:rPr>
              <w:rFonts w:hint="eastAsia" w:ascii="宋体" w:hAnsi="宋体" w:eastAsia="宋体" w:cs="宋体"/>
              <w:bCs/>
              <w:snapToGrid w:val="0"/>
              <w:kern w:val="0"/>
              <w:szCs w:val="28"/>
            </w:rPr>
            <w:t>变、配电系统火灾爆炸子单元事故树分析</w:t>
          </w:r>
          <w:r>
            <w:tab/>
          </w:r>
          <w:r>
            <w:fldChar w:fldCharType="begin"/>
          </w:r>
          <w:r>
            <w:instrText xml:space="preserve"> PAGEREF _Toc4582 \h </w:instrText>
          </w:r>
          <w:r>
            <w:fldChar w:fldCharType="separate"/>
          </w:r>
          <w:r>
            <w:t>- 73 -</w:t>
          </w:r>
          <w:r>
            <w:fldChar w:fldCharType="end"/>
          </w:r>
          <w:r>
            <w:rPr>
              <w:rFonts w:hint="eastAsia" w:ascii="宋体" w:hAnsi="宋体" w:eastAsia="宋体" w:cs="宋体"/>
              <w:bCs/>
              <w:color w:val="auto"/>
              <w:szCs w:val="36"/>
            </w:rPr>
            <w:fldChar w:fldCharType="end"/>
          </w:r>
        </w:p>
        <w:p w14:paraId="45E935BB">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_Toc10298 </w:instrText>
          </w:r>
          <w:r>
            <w:rPr>
              <w:rFonts w:hint="eastAsia" w:ascii="宋体" w:hAnsi="宋体" w:eastAsia="宋体" w:cs="宋体"/>
              <w:bCs/>
              <w:szCs w:val="36"/>
            </w:rPr>
            <w:fldChar w:fldCharType="separate"/>
          </w:r>
          <w:r>
            <w:rPr>
              <w:rFonts w:hint="eastAsia" w:ascii="宋体" w:hAnsi="宋体" w:eastAsia="宋体" w:cs="宋体"/>
              <w:bCs/>
              <w:szCs w:val="28"/>
              <w:lang w:val="en-US" w:eastAsia="zh-CN"/>
            </w:rPr>
            <w:t>5.4.</w:t>
          </w:r>
          <w:r>
            <w:rPr>
              <w:rFonts w:hint="eastAsia" w:hAnsi="宋体" w:cs="宋体"/>
              <w:bCs/>
              <w:szCs w:val="28"/>
              <w:lang w:val="en-US" w:eastAsia="zh-CN"/>
            </w:rPr>
            <w:t>6</w:t>
          </w:r>
          <w:r>
            <w:rPr>
              <w:rFonts w:hint="eastAsia" w:ascii="宋体" w:hAnsi="宋体" w:eastAsia="宋体" w:cs="宋体"/>
              <w:bCs/>
              <w:snapToGrid w:val="0"/>
              <w:kern w:val="0"/>
              <w:szCs w:val="28"/>
            </w:rPr>
            <w:t>评价小结</w:t>
          </w:r>
          <w:r>
            <w:tab/>
          </w:r>
          <w:r>
            <w:fldChar w:fldCharType="begin"/>
          </w:r>
          <w:r>
            <w:instrText xml:space="preserve"> PAGEREF _Toc10298 \h </w:instrText>
          </w:r>
          <w:r>
            <w:fldChar w:fldCharType="separate"/>
          </w:r>
          <w:r>
            <w:t>- 76 -</w:t>
          </w:r>
          <w:r>
            <w:fldChar w:fldCharType="end"/>
          </w:r>
          <w:r>
            <w:rPr>
              <w:rFonts w:hint="eastAsia" w:ascii="宋体" w:hAnsi="宋体" w:eastAsia="宋体" w:cs="宋体"/>
              <w:bCs/>
              <w:color w:val="auto"/>
              <w:szCs w:val="36"/>
            </w:rPr>
            <w:fldChar w:fldCharType="end"/>
          </w:r>
        </w:p>
        <w:p w14:paraId="76BAA81A">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_Toc30106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5.5 安全管理单元</w:t>
          </w:r>
          <w:r>
            <w:tab/>
          </w:r>
          <w:r>
            <w:fldChar w:fldCharType="begin"/>
          </w:r>
          <w:r>
            <w:instrText xml:space="preserve"> PAGEREF _Toc30106 \h </w:instrText>
          </w:r>
          <w:r>
            <w:fldChar w:fldCharType="separate"/>
          </w:r>
          <w:r>
            <w:t>- 76 -</w:t>
          </w:r>
          <w:r>
            <w:fldChar w:fldCharType="end"/>
          </w:r>
          <w:r>
            <w:rPr>
              <w:rFonts w:hint="eastAsia" w:ascii="宋体" w:hAnsi="宋体" w:eastAsia="宋体" w:cs="宋体"/>
              <w:bCs/>
              <w:color w:val="auto"/>
              <w:szCs w:val="36"/>
            </w:rPr>
            <w:fldChar w:fldCharType="end"/>
          </w:r>
        </w:p>
        <w:p w14:paraId="2F84993A">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_Toc8854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5.5.1 安全管理安全检查表</w:t>
          </w:r>
          <w:r>
            <w:tab/>
          </w:r>
          <w:r>
            <w:fldChar w:fldCharType="begin"/>
          </w:r>
          <w:r>
            <w:instrText xml:space="preserve"> PAGEREF _Toc8854 \h </w:instrText>
          </w:r>
          <w:r>
            <w:fldChar w:fldCharType="separate"/>
          </w:r>
          <w:r>
            <w:t>- 76 -</w:t>
          </w:r>
          <w:r>
            <w:fldChar w:fldCharType="end"/>
          </w:r>
          <w:r>
            <w:rPr>
              <w:rFonts w:hint="eastAsia" w:ascii="宋体" w:hAnsi="宋体" w:eastAsia="宋体" w:cs="宋体"/>
              <w:bCs/>
              <w:color w:val="auto"/>
              <w:szCs w:val="36"/>
            </w:rPr>
            <w:fldChar w:fldCharType="end"/>
          </w:r>
        </w:p>
        <w:p w14:paraId="3EF76D0F">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_Toc18875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5.6重大事故隐患检查单元</w:t>
          </w:r>
          <w:r>
            <w:tab/>
          </w:r>
          <w:r>
            <w:fldChar w:fldCharType="begin"/>
          </w:r>
          <w:r>
            <w:instrText xml:space="preserve"> PAGEREF _Toc18875 \h </w:instrText>
          </w:r>
          <w:r>
            <w:fldChar w:fldCharType="separate"/>
          </w:r>
          <w:r>
            <w:t>- 82 -</w:t>
          </w:r>
          <w:r>
            <w:fldChar w:fldCharType="end"/>
          </w:r>
          <w:r>
            <w:rPr>
              <w:rFonts w:hint="eastAsia" w:ascii="宋体" w:hAnsi="宋体" w:eastAsia="宋体" w:cs="宋体"/>
              <w:bCs/>
              <w:color w:val="auto"/>
              <w:szCs w:val="36"/>
            </w:rPr>
            <w:fldChar w:fldCharType="end"/>
          </w:r>
        </w:p>
        <w:p w14:paraId="0E57F949">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_Toc16815 </w:instrText>
          </w:r>
          <w:r>
            <w:rPr>
              <w:rFonts w:hint="eastAsia" w:ascii="宋体" w:hAnsi="宋体" w:eastAsia="宋体" w:cs="宋体"/>
              <w:bCs/>
              <w:szCs w:val="36"/>
            </w:rPr>
            <w:fldChar w:fldCharType="separate"/>
          </w:r>
          <w:r>
            <w:rPr>
              <w:rFonts w:hint="eastAsia" w:ascii="宋体" w:hAnsi="宋体" w:eastAsia="宋体" w:cs="宋体"/>
              <w:bCs/>
              <w:snapToGrid w:val="0"/>
              <w:kern w:val="0"/>
              <w:szCs w:val="30"/>
            </w:rPr>
            <w:t>5.</w:t>
          </w:r>
          <w:r>
            <w:rPr>
              <w:rFonts w:hint="eastAsia" w:hAnsi="宋体" w:cs="宋体"/>
              <w:bCs/>
              <w:snapToGrid w:val="0"/>
              <w:kern w:val="0"/>
              <w:szCs w:val="30"/>
              <w:lang w:val="en-US" w:eastAsia="zh-CN"/>
            </w:rPr>
            <w:t>7</w:t>
          </w:r>
          <w:r>
            <w:rPr>
              <w:rFonts w:hint="eastAsia" w:ascii="宋体" w:hAnsi="宋体" w:eastAsia="宋体" w:cs="宋体"/>
              <w:bCs/>
              <w:snapToGrid w:val="0"/>
              <w:kern w:val="0"/>
              <w:szCs w:val="30"/>
            </w:rPr>
            <w:t>评价小结</w:t>
          </w:r>
          <w:r>
            <w:tab/>
          </w:r>
          <w:r>
            <w:fldChar w:fldCharType="begin"/>
          </w:r>
          <w:r>
            <w:instrText xml:space="preserve"> PAGEREF _Toc16815 \h </w:instrText>
          </w:r>
          <w:r>
            <w:fldChar w:fldCharType="separate"/>
          </w:r>
          <w:r>
            <w:t>- 85 -</w:t>
          </w:r>
          <w:r>
            <w:fldChar w:fldCharType="end"/>
          </w:r>
          <w:r>
            <w:rPr>
              <w:rFonts w:hint="eastAsia" w:ascii="宋体" w:hAnsi="宋体" w:eastAsia="宋体" w:cs="宋体"/>
              <w:bCs/>
              <w:color w:val="auto"/>
              <w:szCs w:val="36"/>
            </w:rPr>
            <w:fldChar w:fldCharType="end"/>
          </w:r>
        </w:p>
        <w:p w14:paraId="7FDF279E">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_Toc27295 </w:instrText>
          </w:r>
          <w:r>
            <w:rPr>
              <w:rFonts w:hint="eastAsia" w:ascii="宋体" w:hAnsi="宋体" w:eastAsia="宋体" w:cs="宋体"/>
              <w:bCs/>
              <w:szCs w:val="36"/>
            </w:rPr>
            <w:fldChar w:fldCharType="separate"/>
          </w:r>
          <w:r>
            <w:rPr>
              <w:rFonts w:hint="eastAsia" w:ascii="宋体" w:hAnsi="宋体" w:eastAsia="宋体" w:cs="宋体"/>
              <w:bCs/>
              <w:szCs w:val="36"/>
              <w:lang w:val="en-US" w:eastAsia="zh-CN"/>
            </w:rPr>
            <w:t>第6章 安全对策措施建议</w:t>
          </w:r>
          <w:r>
            <w:tab/>
          </w:r>
          <w:r>
            <w:fldChar w:fldCharType="begin"/>
          </w:r>
          <w:r>
            <w:instrText xml:space="preserve"> PAGEREF _Toc27295 \h </w:instrText>
          </w:r>
          <w:r>
            <w:fldChar w:fldCharType="separate"/>
          </w:r>
          <w:r>
            <w:t>- 86 -</w:t>
          </w:r>
          <w:r>
            <w:fldChar w:fldCharType="end"/>
          </w:r>
          <w:r>
            <w:rPr>
              <w:rFonts w:hint="eastAsia" w:ascii="宋体" w:hAnsi="宋体" w:eastAsia="宋体" w:cs="宋体"/>
              <w:bCs/>
              <w:color w:val="auto"/>
              <w:szCs w:val="36"/>
            </w:rPr>
            <w:fldChar w:fldCharType="end"/>
          </w:r>
        </w:p>
        <w:p w14:paraId="79086D0C">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_Toc29339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6.1 存在的问题及整改情况说明</w:t>
          </w:r>
          <w:r>
            <w:tab/>
          </w:r>
          <w:r>
            <w:fldChar w:fldCharType="begin"/>
          </w:r>
          <w:r>
            <w:instrText xml:space="preserve"> PAGEREF _Toc29339 \h </w:instrText>
          </w:r>
          <w:r>
            <w:fldChar w:fldCharType="separate"/>
          </w:r>
          <w:r>
            <w:t>- 86 -</w:t>
          </w:r>
          <w:r>
            <w:fldChar w:fldCharType="end"/>
          </w:r>
          <w:r>
            <w:rPr>
              <w:rFonts w:hint="eastAsia" w:ascii="宋体" w:hAnsi="宋体" w:eastAsia="宋体" w:cs="宋体"/>
              <w:bCs/>
              <w:color w:val="auto"/>
              <w:szCs w:val="36"/>
            </w:rPr>
            <w:fldChar w:fldCharType="end"/>
          </w:r>
        </w:p>
        <w:p w14:paraId="6FF7F266">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_Toc29357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6.1.1 存在的主要问题</w:t>
          </w:r>
          <w:r>
            <w:tab/>
          </w:r>
          <w:r>
            <w:fldChar w:fldCharType="begin"/>
          </w:r>
          <w:r>
            <w:instrText xml:space="preserve"> PAGEREF _Toc29357 \h </w:instrText>
          </w:r>
          <w:r>
            <w:fldChar w:fldCharType="separate"/>
          </w:r>
          <w:r>
            <w:t>- 86 -</w:t>
          </w:r>
          <w:r>
            <w:fldChar w:fldCharType="end"/>
          </w:r>
          <w:r>
            <w:rPr>
              <w:rFonts w:hint="eastAsia" w:ascii="宋体" w:hAnsi="宋体" w:eastAsia="宋体" w:cs="宋体"/>
              <w:bCs/>
              <w:color w:val="auto"/>
              <w:szCs w:val="36"/>
            </w:rPr>
            <w:fldChar w:fldCharType="end"/>
          </w:r>
        </w:p>
        <w:p w14:paraId="013C1698">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_Toc2320 </w:instrText>
          </w:r>
          <w:r>
            <w:rPr>
              <w:rFonts w:hint="eastAsia" w:ascii="宋体" w:hAnsi="宋体" w:eastAsia="宋体" w:cs="宋体"/>
              <w:bCs/>
              <w:szCs w:val="36"/>
            </w:rPr>
            <w:fldChar w:fldCharType="separate"/>
          </w:r>
          <w:r>
            <w:rPr>
              <w:rFonts w:hint="eastAsia" w:ascii="宋体" w:hAnsi="宋体" w:eastAsia="宋体" w:cs="宋体"/>
              <w:bCs/>
              <w:szCs w:val="24"/>
              <w:lang w:val="en-US" w:eastAsia="zh-CN"/>
            </w:rPr>
            <w:t>6.1.2整改建议</w:t>
          </w:r>
          <w:r>
            <w:tab/>
          </w:r>
          <w:r>
            <w:fldChar w:fldCharType="begin"/>
          </w:r>
          <w:r>
            <w:instrText xml:space="preserve"> PAGEREF _Toc2320 \h </w:instrText>
          </w:r>
          <w:r>
            <w:fldChar w:fldCharType="separate"/>
          </w:r>
          <w:r>
            <w:t>- 86 -</w:t>
          </w:r>
          <w:r>
            <w:fldChar w:fldCharType="end"/>
          </w:r>
          <w:r>
            <w:rPr>
              <w:rFonts w:hint="eastAsia" w:ascii="宋体" w:hAnsi="宋体" w:eastAsia="宋体" w:cs="宋体"/>
              <w:bCs/>
              <w:color w:val="auto"/>
              <w:szCs w:val="36"/>
            </w:rPr>
            <w:fldChar w:fldCharType="end"/>
          </w:r>
        </w:p>
        <w:p w14:paraId="2196F427">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_Toc9744 </w:instrText>
          </w:r>
          <w:r>
            <w:rPr>
              <w:rFonts w:hint="eastAsia" w:ascii="宋体" w:hAnsi="宋体" w:eastAsia="宋体" w:cs="宋体"/>
              <w:bCs/>
              <w:szCs w:val="36"/>
            </w:rPr>
            <w:fldChar w:fldCharType="separate"/>
          </w:r>
          <w:r>
            <w:rPr>
              <w:rFonts w:hint="eastAsia" w:ascii="宋体" w:hAnsi="宋体" w:eastAsia="宋体" w:cs="宋体"/>
              <w:bCs/>
              <w:szCs w:val="24"/>
              <w:lang w:val="en-US" w:eastAsia="zh-CN"/>
            </w:rPr>
            <w:t>6.1.3整改完成情况</w:t>
          </w:r>
          <w:r>
            <w:tab/>
          </w:r>
          <w:r>
            <w:fldChar w:fldCharType="begin"/>
          </w:r>
          <w:r>
            <w:instrText xml:space="preserve"> PAGEREF _Toc9744 \h </w:instrText>
          </w:r>
          <w:r>
            <w:fldChar w:fldCharType="separate"/>
          </w:r>
          <w:r>
            <w:t>- 87 -</w:t>
          </w:r>
          <w:r>
            <w:fldChar w:fldCharType="end"/>
          </w:r>
          <w:r>
            <w:rPr>
              <w:rFonts w:hint="eastAsia" w:ascii="宋体" w:hAnsi="宋体" w:eastAsia="宋体" w:cs="宋体"/>
              <w:bCs/>
              <w:color w:val="auto"/>
              <w:szCs w:val="36"/>
            </w:rPr>
            <w:fldChar w:fldCharType="end"/>
          </w:r>
        </w:p>
        <w:p w14:paraId="38A8291F">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_Toc714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6.2 安全防范措施建议</w:t>
          </w:r>
          <w:r>
            <w:tab/>
          </w:r>
          <w:r>
            <w:fldChar w:fldCharType="begin"/>
          </w:r>
          <w:r>
            <w:instrText xml:space="preserve"> PAGEREF _Toc714 \h </w:instrText>
          </w:r>
          <w:r>
            <w:fldChar w:fldCharType="separate"/>
          </w:r>
          <w:r>
            <w:t>- 87 -</w:t>
          </w:r>
          <w:r>
            <w:fldChar w:fldCharType="end"/>
          </w:r>
          <w:r>
            <w:rPr>
              <w:rFonts w:hint="eastAsia" w:ascii="宋体" w:hAnsi="宋体" w:eastAsia="宋体" w:cs="宋体"/>
              <w:bCs/>
              <w:color w:val="auto"/>
              <w:szCs w:val="36"/>
            </w:rPr>
            <w:fldChar w:fldCharType="end"/>
          </w:r>
        </w:p>
        <w:p w14:paraId="329D296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_Toc5342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6.2.1 厂址及总平面布置方面安全防范措施建议</w:t>
          </w:r>
          <w:r>
            <w:tab/>
          </w:r>
          <w:r>
            <w:fldChar w:fldCharType="begin"/>
          </w:r>
          <w:r>
            <w:instrText xml:space="preserve"> PAGEREF _Toc5342 \h </w:instrText>
          </w:r>
          <w:r>
            <w:fldChar w:fldCharType="separate"/>
          </w:r>
          <w:r>
            <w:t>- 87 -</w:t>
          </w:r>
          <w:r>
            <w:fldChar w:fldCharType="end"/>
          </w:r>
          <w:r>
            <w:rPr>
              <w:rFonts w:hint="eastAsia" w:ascii="宋体" w:hAnsi="宋体" w:eastAsia="宋体" w:cs="宋体"/>
              <w:bCs/>
              <w:color w:val="auto"/>
              <w:szCs w:val="36"/>
            </w:rPr>
            <w:fldChar w:fldCharType="end"/>
          </w:r>
        </w:p>
        <w:p w14:paraId="4382F5E0">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_Toc23437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6.2.2 生产设备安全防范措施建议</w:t>
          </w:r>
          <w:r>
            <w:tab/>
          </w:r>
          <w:r>
            <w:fldChar w:fldCharType="begin"/>
          </w:r>
          <w:r>
            <w:instrText xml:space="preserve"> PAGEREF _Toc23437 \h </w:instrText>
          </w:r>
          <w:r>
            <w:fldChar w:fldCharType="separate"/>
          </w:r>
          <w:r>
            <w:t>- 88 -</w:t>
          </w:r>
          <w:r>
            <w:fldChar w:fldCharType="end"/>
          </w:r>
          <w:r>
            <w:rPr>
              <w:rFonts w:hint="eastAsia" w:ascii="宋体" w:hAnsi="宋体" w:eastAsia="宋体" w:cs="宋体"/>
              <w:bCs/>
              <w:color w:val="auto"/>
              <w:szCs w:val="36"/>
            </w:rPr>
            <w:fldChar w:fldCharType="end"/>
          </w:r>
        </w:p>
        <w:p w14:paraId="2D98D394">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_Toc28590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6.2.3 公共辅助设施安全防范措施建议</w:t>
          </w:r>
          <w:r>
            <w:tab/>
          </w:r>
          <w:r>
            <w:fldChar w:fldCharType="begin"/>
          </w:r>
          <w:r>
            <w:instrText xml:space="preserve"> PAGEREF _Toc28590 \h </w:instrText>
          </w:r>
          <w:r>
            <w:fldChar w:fldCharType="separate"/>
          </w:r>
          <w:r>
            <w:t>- 88 -</w:t>
          </w:r>
          <w:r>
            <w:fldChar w:fldCharType="end"/>
          </w:r>
          <w:r>
            <w:rPr>
              <w:rFonts w:hint="eastAsia" w:ascii="宋体" w:hAnsi="宋体" w:eastAsia="宋体" w:cs="宋体"/>
              <w:bCs/>
              <w:color w:val="auto"/>
              <w:szCs w:val="36"/>
            </w:rPr>
            <w:fldChar w:fldCharType="end"/>
          </w:r>
        </w:p>
        <w:p w14:paraId="21B8C2F1">
          <w:pPr>
            <w:pStyle w:val="8"/>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_Toc7661 </w:instrText>
          </w:r>
          <w:r>
            <w:rPr>
              <w:rFonts w:hint="eastAsia" w:ascii="宋体" w:hAnsi="宋体" w:eastAsia="宋体" w:cs="宋体"/>
              <w:bCs/>
              <w:szCs w:val="36"/>
            </w:rPr>
            <w:fldChar w:fldCharType="separate"/>
          </w:r>
          <w:r>
            <w:rPr>
              <w:rFonts w:hint="eastAsia" w:ascii="宋体" w:hAnsi="宋体" w:eastAsia="宋体" w:cs="宋体"/>
              <w:bCs/>
              <w:kern w:val="0"/>
              <w:szCs w:val="28"/>
              <w:lang w:val="en-US" w:eastAsia="zh-CN" w:bidi="ar"/>
            </w:rPr>
            <w:t>6.2.</w:t>
          </w:r>
          <w:r>
            <w:rPr>
              <w:rFonts w:hint="eastAsia" w:hAnsi="宋体" w:cs="宋体"/>
              <w:bCs/>
              <w:kern w:val="0"/>
              <w:szCs w:val="28"/>
              <w:lang w:val="en-US" w:eastAsia="zh-CN" w:bidi="ar"/>
            </w:rPr>
            <w:t>4</w:t>
          </w:r>
          <w:r>
            <w:rPr>
              <w:rFonts w:hint="eastAsia" w:ascii="宋体" w:hAnsi="宋体" w:eastAsia="宋体" w:cs="宋体"/>
              <w:bCs/>
              <w:kern w:val="0"/>
              <w:szCs w:val="28"/>
              <w:lang w:val="en-US" w:eastAsia="zh-CN" w:bidi="ar"/>
            </w:rPr>
            <w:t>安全管理安全防范措施建议</w:t>
          </w:r>
          <w:r>
            <w:tab/>
          </w:r>
          <w:r>
            <w:fldChar w:fldCharType="begin"/>
          </w:r>
          <w:r>
            <w:instrText xml:space="preserve"> PAGEREF _Toc7661 \h </w:instrText>
          </w:r>
          <w:r>
            <w:fldChar w:fldCharType="separate"/>
          </w:r>
          <w:r>
            <w:t>- 89 -</w:t>
          </w:r>
          <w:r>
            <w:fldChar w:fldCharType="end"/>
          </w:r>
          <w:r>
            <w:rPr>
              <w:rFonts w:hint="eastAsia" w:ascii="宋体" w:hAnsi="宋体" w:eastAsia="宋体" w:cs="宋体"/>
              <w:bCs/>
              <w:color w:val="auto"/>
              <w:szCs w:val="36"/>
            </w:rPr>
            <w:fldChar w:fldCharType="end"/>
          </w:r>
        </w:p>
        <w:p w14:paraId="0A19B87A">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_Toc10679 </w:instrText>
          </w:r>
          <w:r>
            <w:rPr>
              <w:rFonts w:hint="eastAsia" w:ascii="宋体" w:hAnsi="宋体" w:eastAsia="宋体" w:cs="宋体"/>
              <w:bCs/>
              <w:szCs w:val="36"/>
            </w:rPr>
            <w:fldChar w:fldCharType="separate"/>
          </w:r>
          <w:r>
            <w:rPr>
              <w:rFonts w:hint="eastAsia" w:ascii="宋体" w:hAnsi="宋体" w:eastAsia="宋体" w:cs="宋体"/>
              <w:bCs/>
              <w:kern w:val="0"/>
              <w:szCs w:val="36"/>
              <w:lang w:val="en-US" w:eastAsia="zh-CN" w:bidi="ar"/>
            </w:rPr>
            <w:t>第 7 章 安全评价结论</w:t>
          </w:r>
          <w:r>
            <w:tab/>
          </w:r>
          <w:r>
            <w:fldChar w:fldCharType="begin"/>
          </w:r>
          <w:r>
            <w:instrText xml:space="preserve"> PAGEREF _Toc10679 \h </w:instrText>
          </w:r>
          <w:r>
            <w:fldChar w:fldCharType="separate"/>
          </w:r>
          <w:r>
            <w:t>- 92 -</w:t>
          </w:r>
          <w:r>
            <w:fldChar w:fldCharType="end"/>
          </w:r>
          <w:r>
            <w:rPr>
              <w:rFonts w:hint="eastAsia" w:ascii="宋体" w:hAnsi="宋体" w:eastAsia="宋体" w:cs="宋体"/>
              <w:bCs/>
              <w:color w:val="auto"/>
              <w:szCs w:val="36"/>
            </w:rPr>
            <w:fldChar w:fldCharType="end"/>
          </w:r>
        </w:p>
        <w:p w14:paraId="0D1C2566">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_Toc32628 </w:instrText>
          </w:r>
          <w:r>
            <w:rPr>
              <w:rFonts w:hint="eastAsia" w:ascii="宋体" w:hAnsi="宋体" w:eastAsia="宋体" w:cs="宋体"/>
              <w:bCs/>
              <w:szCs w:val="36"/>
            </w:rPr>
            <w:fldChar w:fldCharType="separate"/>
          </w:r>
          <w:r>
            <w:rPr>
              <w:rFonts w:hint="eastAsia" w:ascii="宋体" w:hAnsi="宋体" w:eastAsia="宋体" w:cs="宋体"/>
              <w:bCs/>
              <w:kern w:val="0"/>
              <w:szCs w:val="30"/>
              <w:lang w:val="en-US" w:eastAsia="zh-CN" w:bidi="ar"/>
            </w:rPr>
            <w:t>7.1 综合评述</w:t>
          </w:r>
          <w:r>
            <w:tab/>
          </w:r>
          <w:r>
            <w:fldChar w:fldCharType="begin"/>
          </w:r>
          <w:r>
            <w:instrText xml:space="preserve"> PAGEREF _Toc32628 \h </w:instrText>
          </w:r>
          <w:r>
            <w:fldChar w:fldCharType="separate"/>
          </w:r>
          <w:r>
            <w:t>- 92 -</w:t>
          </w:r>
          <w:r>
            <w:fldChar w:fldCharType="end"/>
          </w:r>
          <w:r>
            <w:rPr>
              <w:rFonts w:hint="eastAsia" w:ascii="宋体" w:hAnsi="宋体" w:eastAsia="宋体" w:cs="宋体"/>
              <w:bCs/>
              <w:color w:val="auto"/>
              <w:szCs w:val="36"/>
            </w:rPr>
            <w:fldChar w:fldCharType="end"/>
          </w:r>
        </w:p>
        <w:p w14:paraId="40E39802">
          <w:pPr>
            <w:pStyle w:val="13"/>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_Toc7392 </w:instrText>
          </w:r>
          <w:r>
            <w:rPr>
              <w:rFonts w:hint="eastAsia" w:ascii="宋体" w:hAnsi="宋体" w:eastAsia="宋体" w:cs="宋体"/>
              <w:bCs/>
              <w:szCs w:val="36"/>
            </w:rPr>
            <w:fldChar w:fldCharType="separate"/>
          </w:r>
          <w:r>
            <w:rPr>
              <w:rFonts w:hint="eastAsia" w:ascii="宋体" w:hAnsi="宋体" w:eastAsia="宋体" w:cs="宋体"/>
              <w:bCs/>
              <w:spacing w:val="2"/>
              <w:szCs w:val="28"/>
              <w:lang w:val="en-US" w:eastAsia="zh-CN"/>
            </w:rPr>
            <w:t>7</w:t>
          </w:r>
          <w:r>
            <w:rPr>
              <w:rFonts w:ascii="宋体" w:hAnsi="宋体" w:eastAsia="宋体" w:cs="宋体"/>
              <w:bCs/>
              <w:spacing w:val="2"/>
              <w:szCs w:val="28"/>
            </w:rPr>
            <w:t>.2</w:t>
          </w:r>
          <w:r>
            <w:rPr>
              <w:rFonts w:ascii="宋体" w:hAnsi="宋体" w:eastAsia="宋体" w:cs="宋体"/>
              <w:spacing w:val="-54"/>
              <w:szCs w:val="28"/>
            </w:rPr>
            <w:t xml:space="preserve"> </w:t>
          </w:r>
          <w:r>
            <w:rPr>
              <w:rFonts w:ascii="宋体" w:hAnsi="宋体" w:eastAsia="宋体" w:cs="宋体"/>
              <w:bCs/>
              <w:spacing w:val="2"/>
              <w:szCs w:val="28"/>
            </w:rPr>
            <w:t>总体评价结论</w:t>
          </w:r>
          <w:r>
            <w:tab/>
          </w:r>
          <w:r>
            <w:fldChar w:fldCharType="begin"/>
          </w:r>
          <w:r>
            <w:instrText xml:space="preserve"> PAGEREF _Toc7392 \h </w:instrText>
          </w:r>
          <w:r>
            <w:fldChar w:fldCharType="separate"/>
          </w:r>
          <w:r>
            <w:t>- 94 -</w:t>
          </w:r>
          <w:r>
            <w:fldChar w:fldCharType="end"/>
          </w:r>
          <w:r>
            <w:rPr>
              <w:rFonts w:hint="eastAsia" w:ascii="宋体" w:hAnsi="宋体" w:eastAsia="宋体" w:cs="宋体"/>
              <w:bCs/>
              <w:color w:val="auto"/>
              <w:szCs w:val="36"/>
            </w:rPr>
            <w:fldChar w:fldCharType="end"/>
          </w:r>
        </w:p>
        <w:p w14:paraId="60FF86BA">
          <w:pPr>
            <w:pStyle w:val="12"/>
            <w:tabs>
              <w:tab w:val="right" w:leader="dot" w:pos="9185"/>
            </w:tabs>
          </w:pPr>
          <w:r>
            <w:rPr>
              <w:rFonts w:hint="eastAsia" w:ascii="宋体" w:hAnsi="宋体" w:eastAsia="宋体" w:cs="宋体"/>
              <w:bCs/>
              <w:color w:val="auto"/>
              <w:szCs w:val="36"/>
            </w:rPr>
            <w:fldChar w:fldCharType="begin"/>
          </w:r>
          <w:r>
            <w:rPr>
              <w:rFonts w:hint="eastAsia" w:ascii="宋体" w:hAnsi="宋体" w:eastAsia="宋体" w:cs="宋体"/>
              <w:bCs/>
              <w:szCs w:val="36"/>
            </w:rPr>
            <w:instrText xml:space="preserve"> HYPERLINK \l _Toc2787 </w:instrText>
          </w:r>
          <w:r>
            <w:rPr>
              <w:rFonts w:hint="eastAsia" w:ascii="宋体" w:hAnsi="宋体" w:eastAsia="宋体" w:cs="宋体"/>
              <w:bCs/>
              <w:szCs w:val="36"/>
            </w:rPr>
            <w:fldChar w:fldCharType="separate"/>
          </w:r>
          <w:r>
            <w:rPr>
              <w:rFonts w:hint="eastAsia" w:ascii="宋体" w:hAnsi="宋体" w:eastAsia="宋体" w:cs="宋体"/>
              <w:bCs/>
              <w:kern w:val="2"/>
              <w:szCs w:val="36"/>
              <w:lang w:val="en-US" w:eastAsia="zh-CN" w:bidi="ar-SA"/>
            </w:rPr>
            <w:t>第8章 与建设单位交换意见情况说明</w:t>
          </w:r>
          <w:r>
            <w:tab/>
          </w:r>
          <w:r>
            <w:fldChar w:fldCharType="begin"/>
          </w:r>
          <w:r>
            <w:instrText xml:space="preserve"> PAGEREF _Toc2787 \h </w:instrText>
          </w:r>
          <w:r>
            <w:fldChar w:fldCharType="separate"/>
          </w:r>
          <w:r>
            <w:t>- 95 -</w:t>
          </w:r>
          <w:r>
            <w:fldChar w:fldCharType="end"/>
          </w:r>
          <w:r>
            <w:rPr>
              <w:rFonts w:hint="eastAsia" w:ascii="宋体" w:hAnsi="宋体" w:eastAsia="宋体" w:cs="宋体"/>
              <w:bCs/>
              <w:color w:val="auto"/>
              <w:szCs w:val="36"/>
            </w:rPr>
            <w:fldChar w:fldCharType="end"/>
          </w:r>
        </w:p>
        <w:p w14:paraId="7E69E6E9">
          <w:pPr>
            <w:pageBreakBefore w:val="0"/>
            <w:widowControl w:val="0"/>
            <w:kinsoku/>
            <w:wordWrap/>
            <w:overflowPunct/>
            <w:topLinePunct w:val="0"/>
            <w:autoSpaceDE/>
            <w:autoSpaceDN/>
            <w:bidi w:val="0"/>
            <w:spacing w:line="600" w:lineRule="exact"/>
            <w:jc w:val="both"/>
            <w:textAlignment w:val="auto"/>
            <w:outlineLvl w:val="9"/>
            <w:rPr>
              <w:rFonts w:hint="eastAsia" w:ascii="宋体" w:hAnsi="宋体" w:eastAsia="宋体" w:cs="宋体"/>
              <w:bCs/>
              <w:color w:val="auto"/>
              <w:sz w:val="24"/>
              <w:szCs w:val="36"/>
              <w:lang w:val="en-US" w:eastAsia="zh-CN" w:bidi="ar-SA"/>
            </w:rPr>
          </w:pPr>
          <w:r>
            <w:rPr>
              <w:rFonts w:hint="eastAsia" w:ascii="宋体" w:hAnsi="宋体" w:eastAsia="宋体" w:cs="宋体"/>
              <w:bCs/>
              <w:color w:val="auto"/>
              <w:szCs w:val="36"/>
            </w:rPr>
            <w:fldChar w:fldCharType="end"/>
          </w:r>
        </w:p>
      </w:sdtContent>
    </w:sdt>
    <w:p w14:paraId="464C1A73">
      <w:pPr>
        <w:pageBreakBefore w:val="0"/>
        <w:widowControl w:val="0"/>
        <w:kinsoku/>
        <w:wordWrap/>
        <w:overflowPunct/>
        <w:topLinePunct w:val="0"/>
        <w:autoSpaceDE/>
        <w:autoSpaceDN/>
        <w:bidi w:val="0"/>
        <w:spacing w:line="600" w:lineRule="exact"/>
        <w:jc w:val="both"/>
        <w:textAlignment w:val="auto"/>
        <w:outlineLvl w:val="0"/>
        <w:rPr>
          <w:rFonts w:hint="eastAsia" w:ascii="宋体" w:hAnsi="宋体" w:eastAsia="宋体" w:cs="宋体"/>
          <w:bCs/>
          <w:color w:val="auto"/>
          <w:sz w:val="24"/>
          <w:szCs w:val="36"/>
          <w:lang w:val="en-US" w:eastAsia="zh-CN" w:bidi="ar-SA"/>
        </w:rPr>
        <w:sectPr>
          <w:pgSz w:w="11906" w:h="16838"/>
          <w:pgMar w:top="1417" w:right="1134" w:bottom="1134" w:left="1587" w:header="851" w:footer="992" w:gutter="0"/>
          <w:pgNumType w:fmt="numberInDash"/>
          <w:cols w:space="0" w:num="1"/>
          <w:rtlGutter w:val="0"/>
          <w:docGrid w:type="lines" w:linePitch="312" w:charSpace="0"/>
        </w:sectPr>
      </w:pPr>
    </w:p>
    <w:p w14:paraId="0A115927">
      <w:pPr>
        <w:pageBreakBefore w:val="0"/>
        <w:widowControl w:val="0"/>
        <w:kinsoku/>
        <w:wordWrap/>
        <w:overflowPunct/>
        <w:topLinePunct w:val="0"/>
        <w:autoSpaceDE/>
        <w:autoSpaceDN/>
        <w:bidi w:val="0"/>
        <w:spacing w:line="600" w:lineRule="exact"/>
        <w:jc w:val="center"/>
        <w:textAlignment w:val="auto"/>
        <w:outlineLvl w:val="0"/>
        <w:rPr>
          <w:rFonts w:hint="eastAsia" w:ascii="宋体" w:hAnsi="宋体" w:eastAsia="宋体" w:cs="宋体"/>
          <w:b/>
          <w:bCs/>
          <w:color w:val="auto"/>
          <w:sz w:val="36"/>
          <w:szCs w:val="36"/>
        </w:rPr>
      </w:pPr>
      <w:bookmarkStart w:id="1" w:name="_Toc20428"/>
      <w:r>
        <w:rPr>
          <w:rFonts w:hint="eastAsia" w:ascii="宋体" w:hAnsi="宋体" w:eastAsia="宋体" w:cs="宋体"/>
          <w:b/>
          <w:bCs/>
          <w:color w:val="auto"/>
          <w:sz w:val="36"/>
          <w:szCs w:val="36"/>
        </w:rPr>
        <w:t>第1章</w:t>
      </w:r>
      <w:r>
        <w:rPr>
          <w:rFonts w:hint="eastAsia" w:hAnsi="宋体" w:cs="宋体"/>
          <w:b/>
          <w:bCs/>
          <w:color w:val="auto"/>
          <w:sz w:val="36"/>
          <w:szCs w:val="36"/>
          <w:lang w:val="en-US" w:eastAsia="zh-CN"/>
        </w:rPr>
        <w:t xml:space="preserve"> </w:t>
      </w:r>
      <w:r>
        <w:rPr>
          <w:rFonts w:hint="eastAsia" w:ascii="宋体" w:hAnsi="宋体" w:eastAsia="宋体" w:cs="宋体"/>
          <w:b/>
          <w:bCs/>
          <w:color w:val="auto"/>
          <w:sz w:val="36"/>
          <w:szCs w:val="36"/>
        </w:rPr>
        <w:t>编制说明</w:t>
      </w:r>
      <w:bookmarkEnd w:id="0"/>
      <w:bookmarkEnd w:id="1"/>
    </w:p>
    <w:p w14:paraId="215B8AE5">
      <w:pPr>
        <w:pStyle w:val="3"/>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eastAsia" w:ascii="宋体" w:hAnsi="宋体" w:eastAsia="宋体" w:cs="宋体"/>
          <w:color w:val="auto"/>
          <w:kern w:val="0"/>
          <w:sz w:val="30"/>
          <w:szCs w:val="30"/>
        </w:rPr>
      </w:pPr>
      <w:bookmarkStart w:id="2" w:name="_Toc6525"/>
      <w:bookmarkStart w:id="3" w:name="_Toc15715"/>
      <w:bookmarkStart w:id="4" w:name="_Toc20457"/>
      <w:bookmarkStart w:id="5" w:name="_Toc30703"/>
      <w:bookmarkStart w:id="6" w:name="_Toc335926124"/>
      <w:bookmarkStart w:id="7" w:name="_Toc313453419"/>
      <w:bookmarkStart w:id="8" w:name="_Toc31465"/>
      <w:r>
        <w:rPr>
          <w:rFonts w:hint="eastAsia" w:ascii="宋体" w:hAnsi="宋体" w:eastAsia="宋体" w:cs="宋体"/>
          <w:color w:val="auto"/>
          <w:kern w:val="0"/>
          <w:sz w:val="30"/>
          <w:szCs w:val="30"/>
        </w:rPr>
        <w:t>1.1安全评价的目的</w:t>
      </w:r>
      <w:bookmarkEnd w:id="2"/>
      <w:bookmarkEnd w:id="3"/>
      <w:bookmarkEnd w:id="4"/>
      <w:bookmarkEnd w:id="5"/>
      <w:bookmarkEnd w:id="6"/>
      <w:bookmarkEnd w:id="7"/>
      <w:bookmarkEnd w:id="8"/>
    </w:p>
    <w:p w14:paraId="7C60FCE5">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napToGrid w:val="0"/>
          <w:color w:val="auto"/>
          <w:sz w:val="28"/>
        </w:rPr>
      </w:pPr>
      <w:bookmarkStart w:id="9" w:name="_Toc121910185"/>
      <w:r>
        <w:rPr>
          <w:rFonts w:hint="eastAsia" w:ascii="宋体" w:hAnsi="宋体" w:eastAsia="宋体" w:cs="宋体"/>
          <w:color w:val="auto"/>
          <w:sz w:val="28"/>
        </w:rPr>
        <w:t>1．为贯彻</w:t>
      </w:r>
      <w:r>
        <w:rPr>
          <w:rFonts w:hint="eastAsia" w:ascii="宋体" w:hAnsi="宋体" w:eastAsia="宋体" w:cs="宋体"/>
          <w:color w:val="auto"/>
          <w:sz w:val="28"/>
          <w:szCs w:val="28"/>
        </w:rPr>
        <w:t>我们党和国家始终不渝的</w:t>
      </w:r>
      <w:r>
        <w:rPr>
          <w:rFonts w:hint="eastAsia" w:ascii="宋体" w:hAnsi="宋体" w:eastAsia="宋体" w:cs="宋体"/>
          <w:color w:val="auto"/>
          <w:sz w:val="28"/>
        </w:rPr>
        <w:t>“安全第一、预防为主、综合治理”</w:t>
      </w:r>
      <w:r>
        <w:rPr>
          <w:rFonts w:hint="eastAsia" w:ascii="宋体" w:hAnsi="宋体" w:eastAsia="宋体" w:cs="宋体"/>
          <w:color w:val="auto"/>
          <w:sz w:val="28"/>
          <w:szCs w:val="28"/>
        </w:rPr>
        <w:t>安全生产方针</w:t>
      </w:r>
      <w:r>
        <w:rPr>
          <w:rFonts w:hint="eastAsia" w:ascii="宋体" w:hAnsi="宋体" w:eastAsia="宋体" w:cs="宋体"/>
          <w:color w:val="auto"/>
          <w:sz w:val="28"/>
        </w:rPr>
        <w:t>，本次安全评价工作的目的是向</w:t>
      </w:r>
      <w:r>
        <w:rPr>
          <w:rFonts w:hint="eastAsia"/>
          <w:sz w:val="28"/>
          <w:szCs w:val="28"/>
        </w:rPr>
        <w:t>云南高机精密数控机床有限公司</w:t>
      </w:r>
      <w:r>
        <w:rPr>
          <w:rFonts w:hint="eastAsia" w:ascii="宋体" w:hAnsi="宋体" w:eastAsia="宋体" w:cs="宋体"/>
          <w:color w:val="auto"/>
          <w:sz w:val="28"/>
          <w:szCs w:val="28"/>
        </w:rPr>
        <w:t>提供安全现状评价报告</w:t>
      </w:r>
      <w:r>
        <w:rPr>
          <w:rFonts w:hint="eastAsia" w:ascii="宋体" w:hAnsi="宋体" w:eastAsia="宋体" w:cs="宋体"/>
          <w:snapToGrid w:val="0"/>
          <w:color w:val="auto"/>
          <w:sz w:val="28"/>
        </w:rPr>
        <w:t>；</w:t>
      </w:r>
    </w:p>
    <w:p w14:paraId="4840F167">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napToGrid w:val="0"/>
          <w:color w:val="auto"/>
          <w:sz w:val="28"/>
        </w:rPr>
      </w:pPr>
      <w:r>
        <w:rPr>
          <w:rFonts w:hint="eastAsia" w:ascii="宋体" w:hAnsi="宋体" w:eastAsia="宋体" w:cs="宋体"/>
          <w:color w:val="auto"/>
          <w:sz w:val="28"/>
        </w:rPr>
        <w:t>2</w:t>
      </w:r>
      <w:r>
        <w:rPr>
          <w:rFonts w:hint="eastAsia" w:ascii="宋体" w:hAnsi="宋体" w:eastAsia="宋体" w:cs="宋体"/>
          <w:snapToGrid w:val="0"/>
          <w:color w:val="auto"/>
          <w:sz w:val="28"/>
        </w:rPr>
        <w:t>．通过对该公司</w:t>
      </w:r>
      <w:r>
        <w:rPr>
          <w:rFonts w:hint="eastAsia" w:ascii="宋体" w:hAnsi="宋体" w:eastAsia="宋体" w:cs="宋体"/>
          <w:snapToGrid w:val="0"/>
          <w:color w:val="auto"/>
          <w:sz w:val="28"/>
          <w:lang w:val="en-US" w:eastAsia="zh-CN"/>
        </w:rPr>
        <w:t>机床制造</w:t>
      </w:r>
      <w:r>
        <w:rPr>
          <w:rFonts w:hint="eastAsia" w:ascii="宋体" w:hAnsi="宋体" w:eastAsia="宋体" w:cs="宋体"/>
          <w:snapToGrid w:val="0"/>
          <w:color w:val="auto"/>
          <w:sz w:val="28"/>
        </w:rPr>
        <w:t>过程中的危险、有害因素辨识，</w:t>
      </w:r>
      <w:r>
        <w:rPr>
          <w:rFonts w:hint="eastAsia" w:ascii="宋体" w:hAnsi="宋体" w:eastAsia="宋体" w:cs="宋体"/>
          <w:color w:val="auto"/>
          <w:sz w:val="28"/>
          <w:szCs w:val="28"/>
        </w:rPr>
        <w:t>分析出可能存在的主要危险、有害因素及其产生危险、危害后果的主要条件；</w:t>
      </w:r>
      <w:r>
        <w:rPr>
          <w:rFonts w:hint="eastAsia" w:ascii="宋体" w:hAnsi="宋体" w:eastAsia="宋体" w:cs="宋体"/>
          <w:snapToGrid w:val="0"/>
          <w:color w:val="auto"/>
          <w:sz w:val="28"/>
        </w:rPr>
        <w:t>预测发生事故或造成职业危害的可能性及其严重程度，并提出科学、合理、可行的安全对策措施建议；</w:t>
      </w:r>
    </w:p>
    <w:p w14:paraId="1BB9B4B0">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snapToGrid w:val="0"/>
          <w:color w:val="auto"/>
          <w:sz w:val="28"/>
        </w:rPr>
      </w:pPr>
      <w:r>
        <w:rPr>
          <w:rFonts w:hint="eastAsia" w:ascii="宋体" w:hAnsi="宋体" w:eastAsia="宋体" w:cs="宋体"/>
          <w:snapToGrid w:val="0"/>
          <w:color w:val="auto"/>
          <w:sz w:val="28"/>
          <w:szCs w:val="30"/>
        </w:rPr>
        <w:t>3．</w:t>
      </w:r>
      <w:r>
        <w:rPr>
          <w:rFonts w:hint="eastAsia" w:ascii="宋体" w:hAnsi="宋体" w:eastAsia="宋体" w:cs="宋体"/>
          <w:snapToGrid w:val="0"/>
          <w:color w:val="auto"/>
          <w:sz w:val="28"/>
        </w:rPr>
        <w:t>通过安全评价，该企业可进一步全面了解和掌握企业安全生产条件和安全管理状况，并通过完善安全措施，提高企业本质安全程度，预防事故发生，保障人员的生命安全及企业的财产安全；</w:t>
      </w:r>
    </w:p>
    <w:p w14:paraId="41EE0E86">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auto"/>
          <w:sz w:val="28"/>
        </w:rPr>
      </w:pPr>
      <w:r>
        <w:rPr>
          <w:rFonts w:hint="eastAsia" w:ascii="宋体" w:hAnsi="宋体" w:eastAsia="宋体" w:cs="宋体"/>
          <w:snapToGrid w:val="0"/>
          <w:color w:val="auto"/>
          <w:sz w:val="28"/>
          <w:szCs w:val="30"/>
        </w:rPr>
        <w:t>4</w:t>
      </w:r>
      <w:r>
        <w:rPr>
          <w:rFonts w:hint="eastAsia" w:ascii="宋体" w:hAnsi="宋体" w:eastAsia="宋体" w:cs="宋体"/>
          <w:color w:val="auto"/>
          <w:sz w:val="28"/>
        </w:rPr>
        <w:t>．为该企业生产运行以及日常管理提供依据，</w:t>
      </w:r>
      <w:r>
        <w:rPr>
          <w:rFonts w:hint="eastAsia" w:ascii="宋体" w:hAnsi="宋体" w:eastAsia="宋体" w:cs="宋体"/>
          <w:snapToGrid w:val="0"/>
          <w:color w:val="auto"/>
          <w:sz w:val="28"/>
          <w:szCs w:val="28"/>
        </w:rPr>
        <w:t>为实现企业安全技术、安全管理的标准化和科学化创造条件，</w:t>
      </w:r>
      <w:r>
        <w:rPr>
          <w:rFonts w:hint="eastAsia" w:ascii="宋体" w:hAnsi="宋体" w:eastAsia="宋体" w:cs="宋体"/>
          <w:color w:val="auto"/>
          <w:sz w:val="28"/>
        </w:rPr>
        <w:t>并为各级安全生产监督管理部门和行业主管部门实行安全监察、监督提供依据。</w:t>
      </w:r>
      <w:bookmarkEnd w:id="9"/>
    </w:p>
    <w:p w14:paraId="219176FF">
      <w:pPr>
        <w:keepNext w:val="0"/>
        <w:keepLines w:val="0"/>
        <w:pageBreakBefore w:val="0"/>
        <w:widowControl w:val="0"/>
        <w:kinsoku/>
        <w:wordWrap/>
        <w:overflowPunct/>
        <w:topLinePunct w:val="0"/>
        <w:autoSpaceDE/>
        <w:autoSpaceDN/>
        <w:bidi w:val="0"/>
        <w:adjustRightInd w:val="0"/>
        <w:snapToGrid w:val="0"/>
        <w:spacing w:line="600" w:lineRule="exact"/>
        <w:textAlignment w:val="auto"/>
        <w:outlineLvl w:val="1"/>
        <w:rPr>
          <w:rFonts w:hint="eastAsia" w:ascii="宋体" w:hAnsi="宋体" w:eastAsia="宋体" w:cs="宋体"/>
          <w:b/>
          <w:bCs/>
          <w:color w:val="auto"/>
          <w:kern w:val="0"/>
          <w:sz w:val="30"/>
          <w:szCs w:val="30"/>
        </w:rPr>
      </w:pPr>
      <w:bookmarkStart w:id="10" w:name="_Toc29358"/>
      <w:bookmarkStart w:id="11" w:name="_Toc10617"/>
      <w:r>
        <w:rPr>
          <w:rFonts w:hint="eastAsia" w:ascii="宋体" w:hAnsi="宋体" w:eastAsia="宋体" w:cs="宋体"/>
          <w:b/>
          <w:bCs/>
          <w:color w:val="auto"/>
          <w:kern w:val="0"/>
          <w:sz w:val="30"/>
          <w:szCs w:val="30"/>
        </w:rPr>
        <w:t>1.2安全评价依据</w:t>
      </w:r>
      <w:bookmarkEnd w:id="10"/>
      <w:bookmarkEnd w:id="11"/>
    </w:p>
    <w:p w14:paraId="70B09B84">
      <w:pPr>
        <w:pStyle w:val="4"/>
        <w:keepNext/>
        <w:keepLines/>
        <w:pageBreakBefore w:val="0"/>
        <w:widowControl w:val="0"/>
        <w:kinsoku/>
        <w:wordWrap/>
        <w:overflowPunct/>
        <w:topLinePunct w:val="0"/>
        <w:autoSpaceDE/>
        <w:autoSpaceDN/>
        <w:bidi w:val="0"/>
        <w:adjustRightInd/>
        <w:snapToGrid w:val="0"/>
        <w:spacing w:before="0" w:after="0" w:line="600" w:lineRule="exact"/>
        <w:ind w:left="0" w:leftChars="0" w:firstLine="0" w:firstLineChars="0"/>
        <w:textAlignment w:val="auto"/>
        <w:rPr>
          <w:rFonts w:hint="eastAsia" w:ascii="宋体" w:hAnsi="宋体" w:eastAsia="宋体" w:cs="宋体"/>
          <w:snapToGrid w:val="0"/>
          <w:color w:val="auto"/>
          <w:kern w:val="0"/>
          <w:sz w:val="28"/>
          <w:szCs w:val="28"/>
        </w:rPr>
      </w:pPr>
      <w:bookmarkStart w:id="12" w:name="_Toc25627"/>
      <w:bookmarkStart w:id="13" w:name="_Toc22500"/>
      <w:bookmarkStart w:id="14" w:name="_Toc335926126"/>
      <w:bookmarkStart w:id="15" w:name="_Toc313453421"/>
      <w:bookmarkStart w:id="16" w:name="_Toc8798"/>
      <w:bookmarkStart w:id="17" w:name="_Toc25389"/>
      <w:bookmarkStart w:id="18" w:name="_Toc20480"/>
      <w:r>
        <w:rPr>
          <w:rFonts w:hint="eastAsia" w:ascii="宋体" w:hAnsi="宋体" w:eastAsia="宋体" w:cs="宋体"/>
          <w:snapToGrid w:val="0"/>
          <w:color w:val="auto"/>
          <w:kern w:val="0"/>
          <w:sz w:val="28"/>
          <w:szCs w:val="28"/>
        </w:rPr>
        <w:t>1</w:t>
      </w:r>
      <w:r>
        <w:rPr>
          <w:rFonts w:hint="eastAsia" w:ascii="宋体" w:hAnsi="宋体" w:eastAsia="宋体" w:cs="宋体"/>
          <w:color w:val="auto"/>
          <w:kern w:val="0"/>
          <w:sz w:val="28"/>
          <w:szCs w:val="28"/>
        </w:rPr>
        <w:t>.</w:t>
      </w:r>
      <w:r>
        <w:rPr>
          <w:rFonts w:hint="eastAsia" w:ascii="宋体" w:hAnsi="宋体" w:eastAsia="宋体" w:cs="宋体"/>
          <w:snapToGrid w:val="0"/>
          <w:color w:val="auto"/>
          <w:kern w:val="0"/>
          <w:sz w:val="28"/>
          <w:szCs w:val="28"/>
        </w:rPr>
        <w:t>2</w:t>
      </w:r>
      <w:r>
        <w:rPr>
          <w:rFonts w:hint="eastAsia" w:ascii="宋体" w:hAnsi="宋体" w:eastAsia="宋体" w:cs="宋体"/>
          <w:color w:val="auto"/>
          <w:kern w:val="0"/>
          <w:sz w:val="28"/>
          <w:szCs w:val="28"/>
        </w:rPr>
        <w:t>.</w:t>
      </w:r>
      <w:r>
        <w:rPr>
          <w:rFonts w:hint="eastAsia" w:ascii="宋体" w:hAnsi="宋体" w:eastAsia="宋体" w:cs="宋体"/>
          <w:snapToGrid w:val="0"/>
          <w:color w:val="auto"/>
          <w:kern w:val="0"/>
          <w:sz w:val="28"/>
          <w:szCs w:val="28"/>
        </w:rPr>
        <w:t>1法律法规</w:t>
      </w:r>
      <w:bookmarkEnd w:id="12"/>
      <w:bookmarkEnd w:id="13"/>
      <w:bookmarkEnd w:id="14"/>
      <w:bookmarkEnd w:id="15"/>
      <w:bookmarkEnd w:id="16"/>
      <w:bookmarkEnd w:id="17"/>
      <w:bookmarkEnd w:id="18"/>
    </w:p>
    <w:p w14:paraId="3AAF5B28">
      <w:pPr>
        <w:keepNext w:val="0"/>
        <w:keepLines w:val="0"/>
        <w:pageBreakBefore w:val="0"/>
        <w:widowControl w:val="0"/>
        <w:kinsoku w:val="0"/>
        <w:wordWrap/>
        <w:overflowPunct w:val="0"/>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highlight w:val="none"/>
        </w:rPr>
      </w:pPr>
      <w:r>
        <w:rPr>
          <w:rFonts w:hint="eastAsia" w:ascii="宋体" w:hAnsi="宋体" w:eastAsia="宋体" w:cs="宋体"/>
          <w:snapToGrid w:val="0"/>
          <w:color w:val="auto"/>
          <w:sz w:val="28"/>
          <w:szCs w:val="30"/>
          <w:highlight w:val="none"/>
        </w:rPr>
        <w:t>1</w:t>
      </w:r>
      <w:r>
        <w:rPr>
          <w:rFonts w:hint="eastAsia" w:ascii="宋体" w:hAnsi="宋体" w:eastAsia="宋体" w:cs="宋体"/>
          <w:snapToGrid w:val="0"/>
          <w:color w:val="auto"/>
          <w:sz w:val="28"/>
          <w:szCs w:val="30"/>
          <w:highlight w:val="none"/>
          <w:lang w:val="en-US" w:eastAsia="zh-CN"/>
        </w:rPr>
        <w:t>、</w:t>
      </w:r>
      <w:r>
        <w:rPr>
          <w:rFonts w:hint="eastAsia" w:ascii="宋体" w:hAnsi="宋体" w:eastAsia="宋体" w:cs="宋体"/>
          <w:snapToGrid w:val="0"/>
          <w:color w:val="auto"/>
          <w:sz w:val="28"/>
          <w:szCs w:val="30"/>
          <w:highlight w:val="none"/>
        </w:rPr>
        <w:t>《中华人民共和国安全生产法》（中华人</w:t>
      </w:r>
      <w:r>
        <w:rPr>
          <w:rFonts w:hint="eastAsia" w:ascii="宋体" w:hAnsi="宋体" w:eastAsia="宋体" w:cs="宋体"/>
          <w:snapToGrid w:val="0"/>
          <w:color w:val="auto"/>
          <w:sz w:val="28"/>
          <w:szCs w:val="30"/>
          <w:highlight w:val="none"/>
          <w:lang w:eastAsia="zh-CN"/>
        </w:rPr>
        <w:t>民</w:t>
      </w:r>
      <w:r>
        <w:rPr>
          <w:rFonts w:hint="eastAsia" w:ascii="宋体" w:hAnsi="宋体" w:eastAsia="宋体" w:cs="宋体"/>
          <w:snapToGrid w:val="0"/>
          <w:color w:val="auto"/>
          <w:sz w:val="28"/>
          <w:szCs w:val="30"/>
          <w:highlight w:val="none"/>
        </w:rPr>
        <w:t>共和国主席令第88号，全国人民代表大会常务委员会关于修改&lt;中华人民共和国安全生产法〉的决定，已由中华人民共和国第十三届全国人民代表大会常务委员会第二十九次会议于2021年6月10日通过，现予公布，自2021年9月1日起施行）；</w:t>
      </w:r>
    </w:p>
    <w:p w14:paraId="1F13892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highlight w:val="none"/>
        </w:rPr>
      </w:pPr>
      <w:r>
        <w:rPr>
          <w:rFonts w:hint="eastAsia" w:ascii="宋体" w:hAnsi="宋体" w:eastAsia="宋体" w:cs="宋体"/>
          <w:snapToGrid w:val="0"/>
          <w:color w:val="auto"/>
          <w:sz w:val="28"/>
          <w:szCs w:val="30"/>
          <w:highlight w:val="none"/>
        </w:rPr>
        <w:t>2、</w:t>
      </w:r>
      <w:r>
        <w:rPr>
          <w:rFonts w:hint="eastAsia" w:ascii="宋体" w:hAnsi="宋体" w:eastAsia="宋体" w:cs="宋体"/>
          <w:color w:val="auto"/>
          <w:sz w:val="28"/>
          <w:szCs w:val="28"/>
          <w:highlight w:val="none"/>
        </w:rPr>
        <w:t>《中华人民共和国劳动法》（中华人民共和国主席令第</w:t>
      </w:r>
      <w:r>
        <w:rPr>
          <w:rFonts w:hint="eastAsia" w:ascii="宋体" w:hAnsi="宋体" w:eastAsia="宋体" w:cs="宋体"/>
          <w:color w:val="auto"/>
          <w:sz w:val="28"/>
          <w:szCs w:val="28"/>
          <w:highlight w:val="none"/>
          <w:lang w:val="en-US" w:eastAsia="zh-CN"/>
        </w:rPr>
        <w:t>23</w:t>
      </w:r>
      <w:r>
        <w:rPr>
          <w:rFonts w:hint="eastAsia" w:ascii="宋体" w:hAnsi="宋体" w:eastAsia="宋体" w:cs="宋体"/>
          <w:color w:val="auto"/>
          <w:sz w:val="28"/>
          <w:szCs w:val="28"/>
          <w:highlight w:val="none"/>
        </w:rPr>
        <w:t>号，根据2018年12月29日第十三届全国人民代表大会常务委员会第七次会议《关于修改〈中华人民共和国劳动法〉等七部法律的决定》第二次修正</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2018</w:t>
      </w:r>
      <w:r>
        <w:rPr>
          <w:rFonts w:hint="eastAsia" w:ascii="宋体" w:hAnsi="宋体" w:eastAsia="宋体" w:cs="宋体"/>
          <w:color w:val="auto"/>
          <w:sz w:val="28"/>
          <w:szCs w:val="28"/>
          <w:highlight w:val="none"/>
          <w:lang w:val="en-US" w:eastAsia="zh-CN"/>
        </w:rPr>
        <w:t>年</w:t>
      </w:r>
      <w:r>
        <w:rPr>
          <w:rFonts w:hint="eastAsia" w:ascii="宋体" w:hAnsi="宋体" w:eastAsia="宋体" w:cs="宋体"/>
          <w:color w:val="auto"/>
          <w:sz w:val="28"/>
          <w:szCs w:val="28"/>
          <w:highlight w:val="none"/>
        </w:rPr>
        <w:t>12</w:t>
      </w:r>
      <w:r>
        <w:rPr>
          <w:rFonts w:hint="eastAsia" w:ascii="宋体" w:hAnsi="宋体" w:eastAsia="宋体" w:cs="宋体"/>
          <w:color w:val="auto"/>
          <w:sz w:val="28"/>
          <w:szCs w:val="28"/>
          <w:highlight w:val="none"/>
          <w:lang w:val="en-US" w:eastAsia="zh-CN"/>
        </w:rPr>
        <w:t>月</w:t>
      </w:r>
      <w:r>
        <w:rPr>
          <w:rFonts w:hint="eastAsia" w:ascii="宋体" w:hAnsi="宋体" w:eastAsia="宋体" w:cs="宋体"/>
          <w:color w:val="auto"/>
          <w:sz w:val="28"/>
          <w:szCs w:val="28"/>
          <w:highlight w:val="none"/>
        </w:rPr>
        <w:t>29</w:t>
      </w:r>
      <w:r>
        <w:rPr>
          <w:rFonts w:hint="eastAsia" w:ascii="宋体" w:hAnsi="宋体" w:eastAsia="宋体" w:cs="宋体"/>
          <w:color w:val="auto"/>
          <w:sz w:val="28"/>
          <w:szCs w:val="28"/>
          <w:highlight w:val="none"/>
          <w:lang w:val="en-US" w:eastAsia="zh-CN"/>
        </w:rPr>
        <w:t>日施行</w:t>
      </w:r>
      <w:r>
        <w:rPr>
          <w:rFonts w:hint="eastAsia" w:ascii="宋体" w:hAnsi="宋体" w:eastAsia="宋体" w:cs="宋体"/>
          <w:color w:val="auto"/>
          <w:sz w:val="28"/>
          <w:szCs w:val="28"/>
          <w:highlight w:val="none"/>
        </w:rPr>
        <w:t>）</w:t>
      </w:r>
      <w:r>
        <w:rPr>
          <w:rFonts w:hint="eastAsia" w:ascii="宋体" w:hAnsi="宋体" w:eastAsia="宋体" w:cs="宋体"/>
          <w:snapToGrid w:val="0"/>
          <w:color w:val="auto"/>
          <w:sz w:val="28"/>
          <w:szCs w:val="30"/>
          <w:highlight w:val="none"/>
        </w:rPr>
        <w:t>；</w:t>
      </w:r>
    </w:p>
    <w:p w14:paraId="78A57A0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3</w:t>
      </w:r>
      <w:r>
        <w:rPr>
          <w:rFonts w:hint="eastAsia" w:ascii="宋体" w:hAnsi="宋体" w:eastAsia="宋体" w:cs="宋体"/>
          <w:snapToGrid w:val="0"/>
          <w:color w:val="auto"/>
          <w:sz w:val="28"/>
          <w:szCs w:val="30"/>
        </w:rPr>
        <w:t>、</w:t>
      </w:r>
      <w:r>
        <w:rPr>
          <w:rFonts w:hint="eastAsia" w:ascii="宋体" w:hAnsi="宋体" w:eastAsia="宋体" w:cs="宋体"/>
          <w:color w:val="auto"/>
          <w:sz w:val="28"/>
          <w:szCs w:val="28"/>
        </w:rPr>
        <w:t>《中华人民共和国消防法》（2019年4月23日第十三届全国人民代表大会常务委员会第十次会议《关于修改〈中华人民共和国建筑法〉等八部法律的决定》修正，自2019年11月1日起施行）</w:t>
      </w:r>
      <w:r>
        <w:rPr>
          <w:rFonts w:hint="eastAsia" w:ascii="宋体" w:hAnsi="宋体" w:eastAsia="宋体" w:cs="宋体"/>
          <w:snapToGrid w:val="0"/>
          <w:color w:val="auto"/>
          <w:sz w:val="28"/>
          <w:szCs w:val="30"/>
        </w:rPr>
        <w:t>；</w:t>
      </w:r>
    </w:p>
    <w:p w14:paraId="34ACB4F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4</w:t>
      </w:r>
      <w:r>
        <w:rPr>
          <w:rFonts w:hint="eastAsia" w:ascii="宋体" w:hAnsi="宋体" w:eastAsia="宋体" w:cs="宋体"/>
          <w:snapToGrid w:val="0"/>
          <w:color w:val="auto"/>
          <w:sz w:val="28"/>
          <w:szCs w:val="30"/>
        </w:rPr>
        <w:t>、</w:t>
      </w:r>
      <w:r>
        <w:rPr>
          <w:rFonts w:hint="eastAsia" w:ascii="宋体" w:hAnsi="宋体" w:eastAsia="宋体" w:cs="宋体"/>
          <w:color w:val="auto"/>
          <w:sz w:val="28"/>
          <w:szCs w:val="28"/>
        </w:rPr>
        <w:t>《中华人民共和国职业病防治法》（中华人民共和国主席令第24号，2018年12月29日第三次修正）</w:t>
      </w:r>
      <w:r>
        <w:rPr>
          <w:rFonts w:hint="eastAsia" w:ascii="宋体" w:hAnsi="宋体" w:eastAsia="宋体" w:cs="宋体"/>
          <w:snapToGrid w:val="0"/>
          <w:color w:val="auto"/>
          <w:sz w:val="28"/>
          <w:szCs w:val="30"/>
        </w:rPr>
        <w:t>；</w:t>
      </w:r>
    </w:p>
    <w:p w14:paraId="63DEB817">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5</w:t>
      </w:r>
      <w:r>
        <w:rPr>
          <w:rFonts w:hint="eastAsia" w:ascii="宋体" w:hAnsi="宋体" w:eastAsia="宋体" w:cs="宋体"/>
          <w:snapToGrid w:val="0"/>
          <w:color w:val="auto"/>
          <w:sz w:val="28"/>
          <w:szCs w:val="30"/>
        </w:rPr>
        <w:t>、《中华人民共和国大气污染防治法》（中华人民共和国主席令第31号）；</w:t>
      </w:r>
    </w:p>
    <w:p w14:paraId="7E1C9BD9">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color w:val="auto"/>
          <w:sz w:val="28"/>
          <w:szCs w:val="28"/>
        </w:rPr>
      </w:pPr>
      <w:r>
        <w:rPr>
          <w:rFonts w:hint="eastAsia" w:ascii="宋体" w:hAnsi="宋体" w:eastAsia="宋体" w:cs="宋体"/>
          <w:snapToGrid w:val="0"/>
          <w:color w:val="auto"/>
          <w:sz w:val="28"/>
          <w:szCs w:val="30"/>
          <w:lang w:val="en-US" w:eastAsia="zh-CN"/>
        </w:rPr>
        <w:t>6</w:t>
      </w:r>
      <w:r>
        <w:rPr>
          <w:rFonts w:hint="eastAsia" w:ascii="宋体" w:hAnsi="宋体" w:eastAsia="宋体" w:cs="宋体"/>
          <w:snapToGrid w:val="0"/>
          <w:color w:val="auto"/>
          <w:sz w:val="28"/>
          <w:szCs w:val="30"/>
        </w:rPr>
        <w:t>、</w:t>
      </w:r>
      <w:r>
        <w:rPr>
          <w:rFonts w:hint="eastAsia" w:ascii="宋体" w:hAnsi="宋体" w:eastAsia="宋体" w:cs="宋体"/>
          <w:color w:val="auto"/>
          <w:sz w:val="28"/>
          <w:szCs w:val="28"/>
        </w:rPr>
        <w:t>《中华人民共和国环境保护法》（中华人民共和国主席令第9号，自2015年1月1日起施行）；</w:t>
      </w:r>
    </w:p>
    <w:p w14:paraId="35C8EB7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color w:val="000000" w:themeColor="text1"/>
          <w:sz w:val="28"/>
          <w:szCs w:val="28"/>
          <w:shd w:val="clear" w:color="auto" w:fill="auto"/>
          <w14:textFill>
            <w14:solidFill>
              <w14:schemeClr w14:val="tx1"/>
            </w14:solidFill>
          </w14:textFill>
        </w:rPr>
      </w:pPr>
      <w:r>
        <w:rPr>
          <w:rFonts w:hint="eastAsia" w:ascii="宋体" w:hAnsi="宋体" w:eastAsia="宋体" w:cs="宋体"/>
          <w:snapToGrid w:val="0"/>
          <w:color w:val="000000" w:themeColor="text1"/>
          <w:sz w:val="28"/>
          <w:szCs w:val="30"/>
          <w:shd w:val="clear" w:color="auto" w:fill="auto"/>
          <w:lang w:val="en-US" w:eastAsia="zh-CN"/>
          <w14:textFill>
            <w14:solidFill>
              <w14:schemeClr w14:val="tx1"/>
            </w14:solidFill>
          </w14:textFill>
        </w:rPr>
        <w:t>7</w:t>
      </w:r>
      <w:r>
        <w:rPr>
          <w:rFonts w:hint="eastAsia" w:ascii="宋体" w:hAnsi="宋体" w:eastAsia="宋体" w:cs="宋体"/>
          <w:snapToGrid w:val="0"/>
          <w:color w:val="000000" w:themeColor="text1"/>
          <w:sz w:val="28"/>
          <w:szCs w:val="30"/>
          <w:shd w:val="clear" w:color="auto" w:fill="auto"/>
          <w14:textFill>
            <w14:solidFill>
              <w14:schemeClr w14:val="tx1"/>
            </w14:solidFill>
          </w14:textFill>
        </w:rPr>
        <w:t>、</w:t>
      </w:r>
      <w:r>
        <w:rPr>
          <w:rFonts w:hint="eastAsia" w:ascii="宋体" w:hAnsi="宋体" w:eastAsia="宋体" w:cs="宋体"/>
          <w:i w:val="0"/>
          <w:iCs w:val="0"/>
          <w:caps w:val="0"/>
          <w:color w:val="000000" w:themeColor="text1"/>
          <w:spacing w:val="0"/>
          <w:sz w:val="28"/>
          <w:szCs w:val="28"/>
          <w:shd w:val="clear" w:color="auto" w:fill="auto"/>
          <w14:textFill>
            <w14:solidFill>
              <w14:schemeClr w14:val="tx1"/>
            </w14:solidFill>
          </w14:textFill>
        </w:rPr>
        <w:t>《</w:t>
      </w:r>
      <w:r>
        <w:rPr>
          <w:rFonts w:hint="eastAsia" w:ascii="宋体" w:hAnsi="宋体" w:eastAsia="宋体" w:cs="宋体"/>
          <w:color w:val="000000" w:themeColor="text1"/>
          <w:sz w:val="28"/>
          <w:szCs w:val="28"/>
          <w:shd w:val="clear" w:color="auto" w:fill="auto"/>
          <w14:textFill>
            <w14:solidFill>
              <w14:schemeClr w14:val="tx1"/>
            </w14:solidFill>
          </w14:textFill>
        </w:rPr>
        <w:t>中华人民共和国能源法》（中华人民共和国主席令第</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37</w:t>
      </w:r>
      <w:r>
        <w:rPr>
          <w:rFonts w:hint="eastAsia" w:ascii="宋体" w:hAnsi="宋体" w:eastAsia="宋体" w:cs="宋体"/>
          <w:color w:val="000000" w:themeColor="text1"/>
          <w:sz w:val="28"/>
          <w:szCs w:val="28"/>
          <w:shd w:val="clear" w:color="auto" w:fill="auto"/>
          <w14:textFill>
            <w14:solidFill>
              <w14:schemeClr w14:val="tx1"/>
            </w14:solidFill>
          </w14:textFill>
        </w:rPr>
        <w:t>号</w:t>
      </w:r>
      <w:r>
        <w:rPr>
          <w:rFonts w:hint="eastAsia" w:ascii="宋体" w:hAnsi="宋体" w:eastAsia="宋体" w:cs="宋体"/>
          <w:color w:val="000000" w:themeColor="text1"/>
          <w:sz w:val="28"/>
          <w:szCs w:val="28"/>
          <w:shd w:val="clear" w:color="auto" w:fill="auto"/>
          <w:lang w:eastAsia="zh-CN"/>
          <w14:textFill>
            <w14:solidFill>
              <w14:schemeClr w14:val="tx1"/>
            </w14:solidFill>
          </w14:textFill>
        </w:rPr>
        <w:t>，</w:t>
      </w:r>
      <w:r>
        <w:rPr>
          <w:rFonts w:hint="eastAsia" w:ascii="宋体" w:hAnsi="宋体" w:eastAsia="宋体" w:cs="宋体"/>
          <w:color w:val="000000" w:themeColor="text1"/>
          <w:sz w:val="28"/>
          <w:szCs w:val="28"/>
          <w:shd w:val="clear" w:color="auto" w:fill="auto"/>
          <w14:textFill>
            <w14:solidFill>
              <w14:schemeClr w14:val="tx1"/>
            </w14:solidFill>
          </w14:textFill>
        </w:rPr>
        <w:t>自2025年1月1日起施行）。</w:t>
      </w:r>
    </w:p>
    <w:p w14:paraId="2DF620E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color w:val="000000" w:themeColor="text1"/>
          <w:sz w:val="28"/>
          <w:szCs w:val="28"/>
          <w:shd w:val="clear" w:color="auto" w:fill="auto"/>
          <w14:textFill>
            <w14:solidFill>
              <w14:schemeClr w14:val="tx1"/>
            </w14:solidFill>
          </w14:textFill>
        </w:rPr>
      </w:pPr>
      <w:r>
        <w:rPr>
          <w:rFonts w:hint="eastAsia" w:hAnsi="宋体" w:cs="宋体"/>
          <w:color w:val="000000" w:themeColor="text1"/>
          <w:sz w:val="28"/>
          <w:szCs w:val="28"/>
          <w:shd w:val="clear" w:color="auto" w:fill="auto"/>
          <w:lang w:val="en-US" w:eastAsia="zh-CN"/>
          <w14:textFill>
            <w14:solidFill>
              <w14:schemeClr w14:val="tx1"/>
            </w14:solidFill>
          </w14:textFill>
        </w:rPr>
        <w:t>8、</w:t>
      </w:r>
      <w:r>
        <w:rPr>
          <w:rFonts w:hint="eastAsia" w:ascii="宋体" w:hAnsi="宋体" w:eastAsia="宋体" w:cs="宋体"/>
          <w:color w:val="000000" w:themeColor="text1"/>
          <w:sz w:val="28"/>
          <w:szCs w:val="28"/>
          <w:shd w:val="clear" w:color="auto" w:fill="auto"/>
          <w14:textFill>
            <w14:solidFill>
              <w14:schemeClr w14:val="tx1"/>
            </w14:solidFill>
          </w14:textFill>
        </w:rPr>
        <w:t>《中华人民共和国突发事件应对法》（中华人民共和国主席令第</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25</w:t>
      </w:r>
      <w:r>
        <w:rPr>
          <w:rFonts w:hint="eastAsia" w:ascii="宋体" w:hAnsi="宋体" w:eastAsia="宋体" w:cs="宋体"/>
          <w:color w:val="000000" w:themeColor="text1"/>
          <w:sz w:val="28"/>
          <w:szCs w:val="28"/>
          <w:shd w:val="clear" w:color="auto" w:fill="auto"/>
          <w14:textFill>
            <w14:solidFill>
              <w14:schemeClr w14:val="tx1"/>
            </w14:solidFill>
          </w14:textFill>
        </w:rPr>
        <w:t>号</w:t>
      </w:r>
      <w:r>
        <w:rPr>
          <w:rFonts w:hint="eastAsia" w:ascii="宋体" w:hAnsi="宋体" w:eastAsia="宋体" w:cs="宋体"/>
          <w:color w:val="000000" w:themeColor="text1"/>
          <w:sz w:val="28"/>
          <w:szCs w:val="28"/>
          <w:shd w:val="clear" w:color="auto" w:fill="auto"/>
          <w:lang w:eastAsia="zh-CN"/>
          <w14:textFill>
            <w14:solidFill>
              <w14:schemeClr w14:val="tx1"/>
            </w14:solidFill>
          </w14:textFill>
        </w:rPr>
        <w:t>，</w:t>
      </w:r>
      <w:r>
        <w:rPr>
          <w:rFonts w:hint="eastAsia" w:ascii="宋体" w:hAnsi="宋体" w:eastAsia="宋体" w:cs="宋体"/>
          <w:color w:val="000000" w:themeColor="text1"/>
          <w:sz w:val="28"/>
          <w:szCs w:val="28"/>
          <w:shd w:val="clear" w:color="auto" w:fill="auto"/>
          <w14:textFill>
            <w14:solidFill>
              <w14:schemeClr w14:val="tx1"/>
            </w14:solidFill>
          </w14:textFill>
        </w:rPr>
        <w:t>自202</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4</w:t>
      </w:r>
      <w:r>
        <w:rPr>
          <w:rFonts w:hint="eastAsia" w:ascii="宋体" w:hAnsi="宋体" w:eastAsia="宋体" w:cs="宋体"/>
          <w:color w:val="000000" w:themeColor="text1"/>
          <w:sz w:val="28"/>
          <w:szCs w:val="28"/>
          <w:shd w:val="clear" w:color="auto" w:fill="auto"/>
          <w14:textFill>
            <w14:solidFill>
              <w14:schemeClr w14:val="tx1"/>
            </w14:solidFill>
          </w14:textFill>
        </w:rPr>
        <w:t>年</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11</w:t>
      </w:r>
      <w:r>
        <w:rPr>
          <w:rFonts w:hint="eastAsia" w:ascii="宋体" w:hAnsi="宋体" w:eastAsia="宋体" w:cs="宋体"/>
          <w:color w:val="000000" w:themeColor="text1"/>
          <w:sz w:val="28"/>
          <w:szCs w:val="28"/>
          <w:shd w:val="clear" w:color="auto" w:fill="auto"/>
          <w14:textFill>
            <w14:solidFill>
              <w14:schemeClr w14:val="tx1"/>
            </w14:solidFill>
          </w14:textFill>
        </w:rPr>
        <w:t>月1日起施行）。</w:t>
      </w:r>
    </w:p>
    <w:p w14:paraId="10B97A49">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pP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9、</w:t>
      </w:r>
      <w:r>
        <w:rPr>
          <w:rFonts w:hint="eastAsia" w:ascii="宋体" w:hAnsi="宋体" w:eastAsia="宋体" w:cs="宋体"/>
          <w:color w:val="000000" w:themeColor="text1"/>
          <w:sz w:val="28"/>
          <w:szCs w:val="28"/>
          <w:shd w:val="clear" w:color="auto" w:fill="auto"/>
          <w14:textFill>
            <w14:solidFill>
              <w14:schemeClr w14:val="tx1"/>
            </w14:solidFill>
          </w14:textFill>
        </w:rPr>
        <w:t>《中华人民共和国特种设备安全法》</w:t>
      </w:r>
      <w:r>
        <w:rPr>
          <w:rFonts w:hint="eastAsia" w:ascii="宋体" w:hAnsi="宋体" w:eastAsia="宋体" w:cs="宋体"/>
          <w:color w:val="000000" w:themeColor="text1"/>
          <w:sz w:val="28"/>
          <w:szCs w:val="28"/>
          <w:shd w:val="clear" w:color="auto" w:fill="auto"/>
          <w:lang w:eastAsia="zh-CN"/>
          <w14:textFill>
            <w14:solidFill>
              <w14:schemeClr w14:val="tx1"/>
            </w14:solidFill>
          </w14:textFill>
        </w:rPr>
        <w:t>（</w:t>
      </w:r>
      <w:r>
        <w:rPr>
          <w:rFonts w:hint="eastAsia" w:ascii="宋体" w:hAnsi="宋体" w:eastAsia="宋体" w:cs="宋体"/>
          <w:color w:val="000000" w:themeColor="text1"/>
          <w:sz w:val="28"/>
          <w:szCs w:val="28"/>
          <w:shd w:val="clear" w:color="auto" w:fill="auto"/>
          <w14:textFill>
            <w14:solidFill>
              <w14:schemeClr w14:val="tx1"/>
            </w14:solidFill>
          </w14:textFill>
        </w:rPr>
        <w:t>2013 年6月29日，由第十二届全国人民代表大会常务委员会第三次会议通过，中华人民共和国主席令第 4 号公布，自 2014 年 1 月 1 日起施行</w:t>
      </w:r>
      <w:r>
        <w:rPr>
          <w:rFonts w:hint="eastAsia" w:ascii="宋体" w:hAnsi="宋体" w:eastAsia="宋体" w:cs="宋体"/>
          <w:color w:val="000000" w:themeColor="text1"/>
          <w:sz w:val="28"/>
          <w:szCs w:val="28"/>
          <w:shd w:val="clear" w:color="auto" w:fill="auto"/>
          <w:lang w:eastAsia="zh-CN"/>
          <w14:textFill>
            <w14:solidFill>
              <w14:schemeClr w14:val="tx1"/>
            </w14:solidFill>
          </w14:textFill>
        </w:rPr>
        <w:t>）</w:t>
      </w:r>
      <w:r>
        <w:rPr>
          <w:rFonts w:hint="eastAsia" w:hAnsi="宋体" w:cs="宋体"/>
          <w:color w:val="000000" w:themeColor="text1"/>
          <w:sz w:val="28"/>
          <w:szCs w:val="28"/>
          <w:shd w:val="clear" w:color="auto" w:fill="auto"/>
          <w:lang w:eastAsia="zh-CN"/>
          <w14:textFill>
            <w14:solidFill>
              <w14:schemeClr w14:val="tx1"/>
            </w14:solidFill>
          </w14:textFill>
        </w:rPr>
        <w:t>。</w:t>
      </w:r>
    </w:p>
    <w:p w14:paraId="0B802079">
      <w:pPr>
        <w:pStyle w:val="4"/>
        <w:snapToGrid w:val="0"/>
        <w:spacing w:before="20" w:after="20" w:line="520" w:lineRule="exact"/>
        <w:ind w:leftChars="0"/>
        <w:rPr>
          <w:rFonts w:hAnsi="宋体"/>
          <w:snapToGrid w:val="0"/>
          <w:color w:val="auto"/>
          <w:sz w:val="28"/>
          <w:szCs w:val="30"/>
        </w:rPr>
      </w:pPr>
      <w:bookmarkStart w:id="19" w:name="_Toc313453422"/>
      <w:bookmarkStart w:id="20" w:name="_Toc13385"/>
      <w:bookmarkStart w:id="21" w:name="_Toc335926127"/>
      <w:bookmarkStart w:id="22" w:name="_Toc11054"/>
      <w:bookmarkStart w:id="23" w:name="_Toc26315"/>
      <w:bookmarkStart w:id="24" w:name="_Toc24707"/>
      <w:bookmarkStart w:id="25" w:name="_Toc16370"/>
      <w:r>
        <w:rPr>
          <w:rFonts w:hint="eastAsia" w:hAnsi="宋体"/>
          <w:snapToGrid w:val="0"/>
          <w:color w:val="auto"/>
          <w:kern w:val="0"/>
          <w:sz w:val="28"/>
          <w:szCs w:val="28"/>
        </w:rPr>
        <w:t>1.2.2</w:t>
      </w:r>
      <w:bookmarkEnd w:id="19"/>
      <w:r>
        <w:rPr>
          <w:rFonts w:hint="eastAsia" w:hAnsi="宋体"/>
          <w:snapToGrid w:val="0"/>
          <w:color w:val="auto"/>
          <w:kern w:val="0"/>
          <w:sz w:val="28"/>
          <w:szCs w:val="28"/>
        </w:rPr>
        <w:t>行政法规</w:t>
      </w:r>
      <w:bookmarkEnd w:id="20"/>
      <w:bookmarkEnd w:id="21"/>
      <w:bookmarkEnd w:id="22"/>
      <w:bookmarkEnd w:id="23"/>
      <w:bookmarkEnd w:id="24"/>
      <w:bookmarkEnd w:id="25"/>
    </w:p>
    <w:p w14:paraId="0A826B9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1</w:t>
      </w:r>
      <w:r>
        <w:rPr>
          <w:rFonts w:hint="eastAsia" w:hAnsi="宋体"/>
          <w:snapToGrid w:val="0"/>
          <w:color w:val="auto"/>
          <w:sz w:val="28"/>
          <w:szCs w:val="30"/>
        </w:rPr>
        <w:t>、</w:t>
      </w:r>
      <w:r>
        <w:rPr>
          <w:rFonts w:hAnsi="宋体"/>
          <w:snapToGrid w:val="0"/>
          <w:color w:val="auto"/>
          <w:sz w:val="28"/>
          <w:szCs w:val="30"/>
        </w:rPr>
        <w:t>《中华人民共和国尘肺病防治条例》</w:t>
      </w:r>
      <w:r>
        <w:rPr>
          <w:rFonts w:hint="eastAsia" w:hAnsi="宋体"/>
          <w:snapToGrid w:val="0"/>
          <w:color w:val="auto"/>
          <w:sz w:val="28"/>
          <w:szCs w:val="30"/>
        </w:rPr>
        <w:t>（</w:t>
      </w:r>
      <w:r>
        <w:rPr>
          <w:rFonts w:hAnsi="宋体"/>
          <w:snapToGrid w:val="0"/>
          <w:color w:val="auto"/>
          <w:sz w:val="28"/>
          <w:szCs w:val="30"/>
        </w:rPr>
        <w:t>国务院1987年12月3日颁布实施</w:t>
      </w:r>
      <w:r>
        <w:rPr>
          <w:rFonts w:hint="eastAsia" w:hAnsi="宋体"/>
          <w:snapToGrid w:val="0"/>
          <w:color w:val="auto"/>
          <w:sz w:val="28"/>
          <w:szCs w:val="30"/>
        </w:rPr>
        <w:t>）；</w:t>
      </w:r>
    </w:p>
    <w:p w14:paraId="607251F6">
      <w:pPr>
        <w:keepNext w:val="0"/>
        <w:keepLines w:val="0"/>
        <w:pageBreakBefore w:val="0"/>
        <w:widowControl w:val="0"/>
        <w:kinsoku w:val="0"/>
        <w:wordWrap/>
        <w:overflowPunct w:val="0"/>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2</w:t>
      </w:r>
      <w:r>
        <w:rPr>
          <w:rFonts w:hint="eastAsia" w:hAnsi="宋体"/>
          <w:snapToGrid w:val="0"/>
          <w:color w:val="auto"/>
          <w:sz w:val="28"/>
          <w:szCs w:val="30"/>
        </w:rPr>
        <w:t>、《国务院关于修改〈工伤保险条例〉的决定》（中华人民共和国国务院令第</w:t>
      </w:r>
      <w:r>
        <w:rPr>
          <w:rFonts w:hAnsi="宋体"/>
          <w:snapToGrid w:val="0"/>
          <w:color w:val="auto"/>
          <w:sz w:val="28"/>
          <w:szCs w:val="30"/>
        </w:rPr>
        <w:t>586</w:t>
      </w:r>
      <w:r>
        <w:rPr>
          <w:rFonts w:hint="eastAsia" w:hAnsi="宋体"/>
          <w:snapToGrid w:val="0"/>
          <w:color w:val="auto"/>
          <w:sz w:val="28"/>
          <w:szCs w:val="30"/>
        </w:rPr>
        <w:t>号）；</w:t>
      </w:r>
    </w:p>
    <w:p w14:paraId="20796E5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3</w:t>
      </w:r>
      <w:r>
        <w:rPr>
          <w:rFonts w:hint="eastAsia" w:hAnsi="宋体"/>
          <w:snapToGrid w:val="0"/>
          <w:color w:val="auto"/>
          <w:sz w:val="28"/>
          <w:szCs w:val="30"/>
        </w:rPr>
        <w:t>、《危险化学品安全管理条例》（中华人民共和国国务院令第591号，2011年12月1日施行，根据国务院令第645号修订）；</w:t>
      </w:r>
    </w:p>
    <w:p w14:paraId="0B72357C">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4</w:t>
      </w:r>
      <w:r>
        <w:rPr>
          <w:rFonts w:hint="eastAsia" w:hAnsi="宋体"/>
          <w:snapToGrid w:val="0"/>
          <w:color w:val="auto"/>
          <w:sz w:val="28"/>
          <w:szCs w:val="30"/>
        </w:rPr>
        <w:t>、《国务院关于修改〈特种设备安全监察条例〉的决定》（中华人民共和国国务院令第549号）；</w:t>
      </w:r>
    </w:p>
    <w:p w14:paraId="6BECCA4D">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Ansi="宋体"/>
          <w:snapToGrid w:val="0"/>
          <w:color w:val="auto"/>
          <w:sz w:val="28"/>
          <w:szCs w:val="30"/>
        </w:rPr>
      </w:pPr>
      <w:r>
        <w:rPr>
          <w:rFonts w:hint="eastAsia" w:hAnsi="宋体"/>
          <w:snapToGrid w:val="0"/>
          <w:color w:val="auto"/>
          <w:sz w:val="28"/>
          <w:szCs w:val="30"/>
          <w:lang w:val="en-US" w:eastAsia="zh-CN"/>
        </w:rPr>
        <w:t>5</w:t>
      </w:r>
      <w:r>
        <w:rPr>
          <w:rFonts w:hint="eastAsia" w:hAnsi="宋体"/>
          <w:snapToGrid w:val="0"/>
          <w:color w:val="auto"/>
          <w:sz w:val="28"/>
          <w:szCs w:val="30"/>
        </w:rPr>
        <w:t>、《国务院关于修改部分行政法规的决定》（中华人民共和国国务院令第645号）；</w:t>
      </w:r>
    </w:p>
    <w:p w14:paraId="145AAD2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snapToGrid w:val="0"/>
          <w:color w:val="auto"/>
          <w:sz w:val="28"/>
          <w:szCs w:val="30"/>
        </w:rPr>
      </w:pPr>
      <w:r>
        <w:rPr>
          <w:rFonts w:hint="eastAsia" w:hAnsi="宋体"/>
          <w:snapToGrid w:val="0"/>
          <w:color w:val="auto"/>
          <w:sz w:val="28"/>
          <w:szCs w:val="30"/>
          <w:lang w:val="en-US" w:eastAsia="zh-CN"/>
        </w:rPr>
        <w:t>6</w:t>
      </w:r>
      <w:r>
        <w:rPr>
          <w:rFonts w:hint="eastAsia" w:hAnsi="宋体"/>
          <w:snapToGrid w:val="0"/>
          <w:color w:val="auto"/>
          <w:sz w:val="28"/>
          <w:szCs w:val="30"/>
        </w:rPr>
        <w:t>、</w:t>
      </w:r>
      <w:r>
        <w:rPr>
          <w:rFonts w:hAnsi="宋体"/>
          <w:snapToGrid w:val="0"/>
          <w:color w:val="auto"/>
          <w:sz w:val="28"/>
          <w:szCs w:val="30"/>
        </w:rPr>
        <w:t>《建设工程安全生产管理条例》</w:t>
      </w:r>
      <w:r>
        <w:rPr>
          <w:rFonts w:hint="eastAsia" w:hAnsi="宋体"/>
          <w:snapToGrid w:val="0"/>
          <w:color w:val="auto"/>
          <w:sz w:val="28"/>
          <w:szCs w:val="30"/>
        </w:rPr>
        <w:t>（</w:t>
      </w:r>
      <w:r>
        <w:rPr>
          <w:rFonts w:hAnsi="宋体"/>
          <w:snapToGrid w:val="0"/>
          <w:color w:val="auto"/>
          <w:sz w:val="28"/>
          <w:szCs w:val="30"/>
        </w:rPr>
        <w:t>中华人民共和国国务院令第393号</w:t>
      </w:r>
      <w:r>
        <w:rPr>
          <w:rFonts w:hint="eastAsia" w:hAnsi="宋体"/>
          <w:snapToGrid w:val="0"/>
          <w:color w:val="auto"/>
          <w:sz w:val="28"/>
          <w:szCs w:val="30"/>
        </w:rPr>
        <w:t>）；</w:t>
      </w:r>
    </w:p>
    <w:p w14:paraId="581870A9">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eastAsia="宋体"/>
          <w:snapToGrid w:val="0"/>
          <w:color w:val="auto"/>
          <w:sz w:val="28"/>
          <w:szCs w:val="30"/>
          <w:lang w:eastAsia="zh-CN"/>
        </w:rPr>
      </w:pPr>
      <w:r>
        <w:rPr>
          <w:rFonts w:hint="eastAsia" w:hAnsi="宋体"/>
          <w:snapToGrid w:val="0"/>
          <w:color w:val="auto"/>
          <w:sz w:val="28"/>
          <w:szCs w:val="30"/>
          <w:lang w:val="en-US" w:eastAsia="zh-CN"/>
        </w:rPr>
        <w:t>7</w:t>
      </w:r>
      <w:r>
        <w:rPr>
          <w:rFonts w:hint="eastAsia" w:hAnsi="宋体"/>
          <w:snapToGrid w:val="0"/>
          <w:color w:val="auto"/>
          <w:sz w:val="28"/>
          <w:szCs w:val="30"/>
        </w:rPr>
        <w:t>、</w:t>
      </w:r>
      <w:r>
        <w:rPr>
          <w:rFonts w:hAnsi="宋体"/>
          <w:snapToGrid w:val="0"/>
          <w:color w:val="auto"/>
          <w:sz w:val="28"/>
          <w:szCs w:val="30"/>
        </w:rPr>
        <w:t>《生产安全事故报告和调查处理条例》（国务院令第493号）</w:t>
      </w:r>
      <w:r>
        <w:rPr>
          <w:rFonts w:hint="eastAsia" w:hAnsi="宋体"/>
          <w:snapToGrid w:val="0"/>
          <w:color w:val="auto"/>
          <w:sz w:val="28"/>
          <w:szCs w:val="30"/>
          <w:lang w:eastAsia="zh-CN"/>
        </w:rPr>
        <w:t>；</w:t>
      </w:r>
    </w:p>
    <w:p w14:paraId="0E757FDC">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eastAsia="宋体"/>
          <w:snapToGrid w:val="0"/>
          <w:color w:val="000000" w:themeColor="text1"/>
          <w:sz w:val="28"/>
          <w:szCs w:val="30"/>
          <w:shd w:val="clear" w:color="auto" w:fill="auto"/>
          <w:lang w:val="en-US" w:eastAsia="zh-CN"/>
          <w14:textFill>
            <w14:solidFill>
              <w14:schemeClr w14:val="tx1"/>
            </w14:solidFill>
          </w14:textFill>
        </w:rPr>
      </w:pPr>
      <w:r>
        <w:rPr>
          <w:rFonts w:hint="eastAsia" w:hAnsi="宋体"/>
          <w:snapToGrid w:val="0"/>
          <w:color w:val="000000" w:themeColor="text1"/>
          <w:sz w:val="28"/>
          <w:szCs w:val="30"/>
          <w:shd w:val="clear" w:color="auto" w:fill="auto"/>
          <w:lang w:val="en-US" w:eastAsia="zh-CN"/>
          <w14:textFill>
            <w14:solidFill>
              <w14:schemeClr w14:val="tx1"/>
            </w14:solidFill>
          </w14:textFill>
        </w:rPr>
        <w:t>8、</w:t>
      </w:r>
      <w:r>
        <w:rPr>
          <w:rFonts w:hAnsi="宋体"/>
          <w:snapToGrid w:val="0"/>
          <w:color w:val="000000" w:themeColor="text1"/>
          <w:sz w:val="28"/>
          <w:szCs w:val="30"/>
          <w:shd w:val="clear" w:color="auto" w:fill="auto"/>
          <w14:textFill>
            <w14:solidFill>
              <w14:schemeClr w14:val="tx1"/>
            </w14:solidFill>
          </w14:textFill>
        </w:rPr>
        <w:t>《生产安全事故应急条例》（中华人民共和国国务院令第708号）</w:t>
      </w:r>
      <w:r>
        <w:rPr>
          <w:rFonts w:hint="eastAsia" w:hAnsi="宋体"/>
          <w:snapToGrid w:val="0"/>
          <w:color w:val="000000" w:themeColor="text1"/>
          <w:sz w:val="28"/>
          <w:szCs w:val="30"/>
          <w:shd w:val="clear" w:color="auto" w:fill="auto"/>
          <w:lang w:eastAsia="zh-CN"/>
          <w14:textFill>
            <w14:solidFill>
              <w14:schemeClr w14:val="tx1"/>
            </w14:solidFill>
          </w14:textFill>
        </w:rPr>
        <w:t>。</w:t>
      </w:r>
    </w:p>
    <w:p w14:paraId="392BCB38">
      <w:pPr>
        <w:pStyle w:val="4"/>
        <w:snapToGrid w:val="0"/>
        <w:spacing w:before="20" w:after="20" w:line="520" w:lineRule="exact"/>
        <w:ind w:leftChars="0"/>
        <w:rPr>
          <w:rFonts w:hint="eastAsia"/>
        </w:rPr>
      </w:pPr>
      <w:bookmarkStart w:id="26" w:name="_Toc353"/>
      <w:bookmarkStart w:id="27" w:name="_Toc6278"/>
      <w:bookmarkStart w:id="28" w:name="_Toc15873"/>
      <w:bookmarkStart w:id="29" w:name="_Toc5022"/>
      <w:bookmarkStart w:id="30" w:name="_Toc5883"/>
      <w:r>
        <w:rPr>
          <w:rFonts w:hint="eastAsia" w:hAnsi="宋体"/>
          <w:snapToGrid w:val="0"/>
          <w:color w:val="auto"/>
          <w:kern w:val="0"/>
          <w:sz w:val="28"/>
          <w:szCs w:val="28"/>
        </w:rPr>
        <w:t>1.2.3部门规章</w:t>
      </w:r>
      <w:bookmarkEnd w:id="26"/>
      <w:bookmarkEnd w:id="27"/>
      <w:bookmarkEnd w:id="28"/>
      <w:bookmarkEnd w:id="29"/>
      <w:bookmarkEnd w:id="30"/>
    </w:p>
    <w:p w14:paraId="4230344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highlight w:val="none"/>
        </w:rPr>
      </w:pPr>
      <w:r>
        <w:rPr>
          <w:rFonts w:hint="eastAsia" w:ascii="宋体" w:hAnsi="宋体" w:eastAsia="宋体" w:cs="宋体"/>
          <w:snapToGrid w:val="0"/>
          <w:color w:val="auto"/>
          <w:sz w:val="28"/>
          <w:szCs w:val="28"/>
          <w:highlight w:val="none"/>
        </w:rPr>
        <w:t>《财政部</w:t>
      </w:r>
      <w:r>
        <w:rPr>
          <w:rFonts w:hint="eastAsia" w:ascii="宋体" w:hAnsi="宋体" w:eastAsia="宋体" w:cs="宋体"/>
          <w:snapToGrid w:val="0"/>
          <w:color w:val="auto"/>
          <w:sz w:val="28"/>
          <w:szCs w:val="28"/>
          <w:highlight w:val="none"/>
          <w:lang w:val="en-US" w:eastAsia="zh-CN"/>
        </w:rPr>
        <w:t>应急部</w:t>
      </w:r>
      <w:r>
        <w:rPr>
          <w:rFonts w:hint="eastAsia" w:ascii="宋体" w:hAnsi="宋体" w:eastAsia="宋体" w:cs="宋体"/>
          <w:snapToGrid w:val="0"/>
          <w:color w:val="auto"/>
          <w:sz w:val="28"/>
          <w:szCs w:val="28"/>
          <w:highlight w:val="none"/>
        </w:rPr>
        <w:t>关于印发&lt;企业安全生产费用提取和使用管理办法&gt;的通知》（财</w:t>
      </w:r>
      <w:r>
        <w:rPr>
          <w:rFonts w:hint="eastAsia" w:ascii="宋体" w:hAnsi="宋体" w:eastAsia="宋体" w:cs="宋体"/>
          <w:snapToGrid w:val="0"/>
          <w:color w:val="auto"/>
          <w:sz w:val="28"/>
          <w:szCs w:val="28"/>
          <w:highlight w:val="none"/>
          <w:lang w:val="en-US" w:eastAsia="zh-CN"/>
        </w:rPr>
        <w:t>资</w:t>
      </w:r>
      <w:r>
        <w:rPr>
          <w:rFonts w:hint="eastAsia" w:ascii="宋体" w:hAnsi="宋体" w:eastAsia="宋体" w:cs="宋体"/>
          <w:snapToGrid w:val="0"/>
          <w:color w:val="auto"/>
          <w:sz w:val="28"/>
          <w:szCs w:val="28"/>
          <w:highlight w:val="none"/>
        </w:rPr>
        <w:t>〔20</w:t>
      </w:r>
      <w:r>
        <w:rPr>
          <w:rFonts w:hint="eastAsia" w:ascii="宋体" w:hAnsi="宋体" w:eastAsia="宋体" w:cs="宋体"/>
          <w:snapToGrid w:val="0"/>
          <w:color w:val="auto"/>
          <w:sz w:val="28"/>
          <w:szCs w:val="28"/>
          <w:highlight w:val="none"/>
          <w:lang w:val="en-US" w:eastAsia="zh-CN"/>
        </w:rPr>
        <w:t>22</w:t>
      </w:r>
      <w:r>
        <w:rPr>
          <w:rFonts w:hint="eastAsia" w:ascii="宋体" w:hAnsi="宋体" w:eastAsia="宋体" w:cs="宋体"/>
          <w:snapToGrid w:val="0"/>
          <w:color w:val="auto"/>
          <w:sz w:val="28"/>
          <w:szCs w:val="28"/>
          <w:highlight w:val="none"/>
        </w:rPr>
        <w:t>〕1</w:t>
      </w:r>
      <w:r>
        <w:rPr>
          <w:rFonts w:hint="eastAsia" w:ascii="宋体" w:hAnsi="宋体" w:eastAsia="宋体" w:cs="宋体"/>
          <w:snapToGrid w:val="0"/>
          <w:color w:val="auto"/>
          <w:sz w:val="28"/>
          <w:szCs w:val="28"/>
          <w:highlight w:val="none"/>
          <w:lang w:val="en-US" w:eastAsia="zh-CN"/>
        </w:rPr>
        <w:t>3</w:t>
      </w:r>
      <w:r>
        <w:rPr>
          <w:rFonts w:hint="eastAsia" w:ascii="宋体" w:hAnsi="宋体" w:eastAsia="宋体" w:cs="宋体"/>
          <w:snapToGrid w:val="0"/>
          <w:color w:val="auto"/>
          <w:sz w:val="28"/>
          <w:szCs w:val="28"/>
          <w:highlight w:val="none"/>
        </w:rPr>
        <w:t>6号）；</w:t>
      </w:r>
    </w:p>
    <w:p w14:paraId="0C0B153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highlight w:val="none"/>
        </w:rPr>
      </w:pPr>
      <w:bookmarkStart w:id="31" w:name="OLE_LINK4"/>
      <w:r>
        <w:rPr>
          <w:rFonts w:hint="eastAsia" w:ascii="宋体" w:hAnsi="宋体" w:eastAsia="宋体" w:cs="宋体"/>
          <w:snapToGrid w:val="0"/>
          <w:color w:val="auto"/>
          <w:sz w:val="28"/>
          <w:szCs w:val="28"/>
          <w:highlight w:val="none"/>
        </w:rPr>
        <w:t>《生产经营单位安全培训规定》（国家安全生产监督管理总局令第3号，根据国家安全监管总局令第63号修正；根据国家安全监管总局令第80号修正）</w:t>
      </w:r>
      <w:bookmarkEnd w:id="31"/>
      <w:r>
        <w:rPr>
          <w:rFonts w:hint="eastAsia" w:ascii="宋体" w:hAnsi="宋体" w:eastAsia="宋体" w:cs="宋体"/>
          <w:snapToGrid w:val="0"/>
          <w:color w:val="auto"/>
          <w:sz w:val="28"/>
          <w:szCs w:val="28"/>
          <w:highlight w:val="none"/>
        </w:rPr>
        <w:t>；</w:t>
      </w:r>
    </w:p>
    <w:p w14:paraId="370279C7">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0000FF"/>
          <w:sz w:val="28"/>
          <w:szCs w:val="28"/>
          <w:shd w:val="clear" w:color="FFFFFF" w:fill="D9D9D9"/>
        </w:rPr>
      </w:pPr>
      <w:r>
        <w:rPr>
          <w:rFonts w:hint="eastAsia" w:ascii="宋体" w:hAnsi="宋体" w:eastAsia="宋体" w:cs="宋体"/>
          <w:snapToGrid w:val="0"/>
          <w:color w:val="0000FF"/>
          <w:sz w:val="28"/>
          <w:szCs w:val="28"/>
          <w:shd w:val="clear" w:color="FFFFFF" w:fill="D9D9D9"/>
        </w:rPr>
        <w:t>《生产安全事故报告和调查处理条例罚款处罚暂行规定》（国家安全生产监督管理总局令第13号，国家安全监管总局令第42号第一次修正，国家安全监管总局令第77号第二次修正）；</w:t>
      </w:r>
    </w:p>
    <w:p w14:paraId="677D406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《安全生产违法行为行政处罚办法》（国家安全生产监督管理总局令第15号）；</w:t>
      </w:r>
    </w:p>
    <w:p w14:paraId="5B76F3D4">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《安全生产事故隐患排查治理暂行规定》（国家安全生产监督管理总局令第16号）；</w:t>
      </w:r>
    </w:p>
    <w:p w14:paraId="473802E6">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《生产安全事故应急预案管理办法》（国家安全生产监督管理总局第88号令）；</w:t>
      </w:r>
    </w:p>
    <w:p w14:paraId="560057F3">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《特种作业人员安全技术培训考核管理规定》（修订）（国家安全生产监督管理总局令第30号发布，根据国家安全监管总局令第63号修正，根据国家安全监管总局令第80号修正）；</w:t>
      </w:r>
    </w:p>
    <w:p w14:paraId="0E310FA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《安全生产培训管理办法》（国家安全生产监督管理总局令第44号，根据国家安全监管总局令第63号第一次修正</w:t>
      </w:r>
      <w:r>
        <w:rPr>
          <w:rFonts w:hint="eastAsia" w:ascii="宋体" w:hAnsi="宋体" w:eastAsia="宋体" w:cs="宋体"/>
          <w:snapToGrid w:val="0"/>
          <w:color w:val="auto"/>
          <w:sz w:val="28"/>
          <w:szCs w:val="28"/>
          <w:lang w:eastAsia="zh-CN"/>
        </w:rPr>
        <w:t>，</w:t>
      </w:r>
      <w:r>
        <w:rPr>
          <w:rFonts w:hint="eastAsia" w:ascii="宋体" w:hAnsi="宋体" w:eastAsia="宋体" w:cs="宋体"/>
          <w:snapToGrid w:val="0"/>
          <w:color w:val="auto"/>
          <w:sz w:val="28"/>
          <w:szCs w:val="28"/>
        </w:rPr>
        <w:t>根据国家安全监管总局令第80号第二次修正）；</w:t>
      </w:r>
    </w:p>
    <w:p w14:paraId="7FA6EC4D">
      <w:pPr>
        <w:pStyle w:val="6"/>
        <w:keepNext w:val="0"/>
        <w:keepLines w:val="0"/>
        <w:pageBreakBefore w:val="0"/>
        <w:widowControl w:val="0"/>
        <w:numPr>
          <w:ilvl w:val="0"/>
          <w:numId w:val="1"/>
        </w:numPr>
        <w:kinsoku/>
        <w:wordWrap/>
        <w:overflowPunct/>
        <w:topLinePunct w:val="0"/>
        <w:autoSpaceDE/>
        <w:autoSpaceDN/>
        <w:bidi w:val="0"/>
        <w:adjustRightInd/>
        <w:spacing w:line="600" w:lineRule="exact"/>
        <w:ind w:left="0" w:leftChars="0"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b w:val="0"/>
          <w:bCs w:val="0"/>
          <w:color w:val="auto"/>
          <w:sz w:val="28"/>
          <w:szCs w:val="28"/>
        </w:rPr>
        <w:t>《工作场所职业卫生管理规定》</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pacing w:val="-17"/>
          <w:sz w:val="28"/>
          <w:szCs w:val="28"/>
          <w:u w:val="none"/>
        </w:rPr>
        <w:t>国家卫生健康委员会令</w:t>
      </w:r>
      <w:r>
        <w:rPr>
          <w:rFonts w:hint="eastAsia" w:ascii="宋体" w:hAnsi="宋体" w:eastAsia="宋体" w:cs="宋体"/>
          <w:b w:val="0"/>
          <w:bCs w:val="0"/>
          <w:color w:val="auto"/>
          <w:sz w:val="28"/>
          <w:szCs w:val="28"/>
        </w:rPr>
        <w:t>第 5 号</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pacing w:val="0"/>
          <w:sz w:val="28"/>
          <w:szCs w:val="28"/>
          <w:u w:val="none"/>
        </w:rPr>
        <w:t>自2021年2月1日起施行</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w:t>
      </w:r>
    </w:p>
    <w:p w14:paraId="4370EA8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lang w:val="en-US" w:eastAsia="zh-CN"/>
        </w:rPr>
        <w:t>《工贸企业有限空间作业安全规定》（应急管理部令 第13号）</w:t>
      </w:r>
      <w:r>
        <w:rPr>
          <w:rFonts w:hint="eastAsia" w:ascii="宋体" w:hAnsi="宋体" w:eastAsia="宋体" w:cs="宋体"/>
          <w:snapToGrid w:val="0"/>
          <w:color w:val="auto"/>
          <w:sz w:val="28"/>
          <w:szCs w:val="28"/>
        </w:rPr>
        <w:t>；</w:t>
      </w:r>
    </w:p>
    <w:p w14:paraId="7D3856E1">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b w:val="0"/>
          <w:bCs w:val="0"/>
          <w:color w:val="000000" w:themeColor="text1"/>
          <w:sz w:val="28"/>
          <w:szCs w:val="28"/>
          <w:shd w:val="clear" w:color="auto" w:fill="auto"/>
          <w:lang w:val="en-US" w:eastAsia="zh-CN" w:bidi="ar-SA"/>
          <w14:textFill>
            <w14:solidFill>
              <w14:schemeClr w14:val="tx1"/>
            </w14:solidFill>
          </w14:textFill>
        </w:rPr>
      </w:pPr>
      <w:r>
        <w:rPr>
          <w:rFonts w:hint="eastAsia" w:ascii="宋体" w:hAnsi="宋体" w:eastAsia="宋体" w:cs="宋体"/>
          <w:i w:val="0"/>
          <w:iCs w:val="0"/>
          <w:caps w:val="0"/>
          <w:color w:val="000000" w:themeColor="text1"/>
          <w:spacing w:val="0"/>
          <w:sz w:val="28"/>
          <w:szCs w:val="28"/>
          <w:shd w:val="clear" w:color="auto" w:fill="auto"/>
          <w14:textFill>
            <w14:solidFill>
              <w14:schemeClr w14:val="tx1"/>
            </w14:solidFill>
          </w14:textFill>
        </w:rPr>
        <w:t>《</w:t>
      </w:r>
      <w:r>
        <w:rPr>
          <w:rFonts w:hint="eastAsia" w:ascii="宋体" w:hAnsi="宋体" w:eastAsia="宋体" w:cs="宋体"/>
          <w:b w:val="0"/>
          <w:bCs w:val="0"/>
          <w:color w:val="000000" w:themeColor="text1"/>
          <w:sz w:val="28"/>
          <w:szCs w:val="28"/>
          <w:shd w:val="clear" w:color="auto" w:fill="auto"/>
          <w:lang w:val="en-US" w:eastAsia="zh-CN" w:bidi="ar-SA"/>
          <w14:textFill>
            <w14:solidFill>
              <w14:schemeClr w14:val="tx1"/>
            </w14:solidFill>
          </w14:textFill>
        </w:rPr>
        <w:t>生产安全事故罚款处罚规定》</w:t>
      </w:r>
      <w:r>
        <w:rPr>
          <w:rFonts w:hint="eastAsia" w:ascii="宋体" w:hAnsi="宋体" w:eastAsia="宋体" w:cs="宋体"/>
          <w:snapToGrid w:val="0"/>
          <w:color w:val="000000" w:themeColor="text1"/>
          <w:sz w:val="28"/>
          <w:szCs w:val="28"/>
          <w:shd w:val="clear" w:color="auto" w:fill="auto"/>
          <w:lang w:val="en-US" w:eastAsia="zh-CN"/>
          <w14:textFill>
            <w14:solidFill>
              <w14:schemeClr w14:val="tx1"/>
            </w14:solidFill>
          </w14:textFill>
        </w:rPr>
        <w:t>（应急管理部令 第1</w:t>
      </w:r>
      <w:r>
        <w:rPr>
          <w:rFonts w:hint="eastAsia" w:hAnsi="宋体" w:cs="宋体"/>
          <w:snapToGrid w:val="0"/>
          <w:color w:val="000000" w:themeColor="text1"/>
          <w:sz w:val="28"/>
          <w:szCs w:val="28"/>
          <w:shd w:val="clear" w:color="auto" w:fill="auto"/>
          <w:lang w:val="en-US" w:eastAsia="zh-CN"/>
          <w14:textFill>
            <w14:solidFill>
              <w14:schemeClr w14:val="tx1"/>
            </w14:solidFill>
          </w14:textFill>
        </w:rPr>
        <w:t>4</w:t>
      </w:r>
      <w:r>
        <w:rPr>
          <w:rFonts w:hint="eastAsia" w:ascii="宋体" w:hAnsi="宋体" w:eastAsia="宋体" w:cs="宋体"/>
          <w:snapToGrid w:val="0"/>
          <w:color w:val="000000" w:themeColor="text1"/>
          <w:sz w:val="28"/>
          <w:szCs w:val="28"/>
          <w:shd w:val="clear" w:color="auto" w:fill="auto"/>
          <w:lang w:val="en-US" w:eastAsia="zh-CN"/>
          <w14:textFill>
            <w14:solidFill>
              <w14:schemeClr w14:val="tx1"/>
            </w14:solidFill>
          </w14:textFill>
        </w:rPr>
        <w:t>号）</w:t>
      </w:r>
      <w:r>
        <w:rPr>
          <w:rFonts w:hint="eastAsia" w:hAnsi="宋体" w:cs="宋体"/>
          <w:snapToGrid w:val="0"/>
          <w:color w:val="000000" w:themeColor="text1"/>
          <w:sz w:val="28"/>
          <w:szCs w:val="28"/>
          <w:shd w:val="clear" w:color="auto" w:fill="auto"/>
          <w:lang w:val="en-US" w:eastAsia="zh-CN"/>
          <w14:textFill>
            <w14:solidFill>
              <w14:schemeClr w14:val="tx1"/>
            </w14:solidFill>
          </w14:textFill>
        </w:rPr>
        <w:t>；</w:t>
      </w:r>
    </w:p>
    <w:p w14:paraId="3755B10A">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《国家安全监管总局关于修改&lt;生产安全事故报告和调查处理条例&gt;罚款处罚暂行规定等四部规章的决定》（国家安全生产监督管理总局令第77号）；</w:t>
      </w:r>
    </w:p>
    <w:p w14:paraId="4AA35630">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《国家安全监管总局关于废止和修改危险化学品等领域七部规章的决定》（国家安全监管总局令第79号）；</w:t>
      </w:r>
    </w:p>
    <w:p w14:paraId="04A8B4C5">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《国家安全监管总局关于废止和修改劳动防护用品和安全培训等领域十部规章的决定》（国家安全生产监督管理总局令第80号）；</w:t>
      </w:r>
    </w:p>
    <w:p w14:paraId="0E4BCBED">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000000" w:themeColor="text1"/>
          <w:sz w:val="28"/>
          <w:szCs w:val="28"/>
          <w:shd w:val="clear" w:color="auto" w:fill="auto"/>
          <w14:textFill>
            <w14:solidFill>
              <w14:schemeClr w14:val="tx1"/>
            </w14:solidFill>
          </w14:textFill>
        </w:rPr>
      </w:pPr>
      <w:r>
        <w:rPr>
          <w:rFonts w:hint="eastAsia" w:ascii="宋体" w:hAnsi="宋体" w:eastAsia="宋体" w:cs="宋体"/>
          <w:snapToGrid w:val="0"/>
          <w:color w:val="000000" w:themeColor="text1"/>
          <w:sz w:val="28"/>
          <w:szCs w:val="28"/>
          <w:shd w:val="clear" w:color="auto" w:fill="auto"/>
          <w14:textFill>
            <w14:solidFill>
              <w14:schemeClr w14:val="tx1"/>
            </w14:solidFill>
          </w14:textFill>
        </w:rPr>
        <w:t>《危险化学品目录》（</w:t>
      </w:r>
      <w:r>
        <w:rPr>
          <w:rFonts w:hint="eastAsia" w:ascii="宋体" w:hAnsi="宋体" w:eastAsia="宋体" w:cs="宋体"/>
          <w:snapToGrid w:val="0"/>
          <w:color w:val="000000" w:themeColor="text1"/>
          <w:sz w:val="28"/>
          <w:szCs w:val="28"/>
          <w:shd w:val="clear" w:color="auto" w:fill="auto"/>
          <w:lang w:val="en-US" w:eastAsia="zh-CN"/>
          <w14:textFill>
            <w14:solidFill>
              <w14:schemeClr w14:val="tx1"/>
            </w14:solidFill>
          </w14:textFill>
        </w:rPr>
        <w:t>2022调整版</w:t>
      </w:r>
      <w:r>
        <w:rPr>
          <w:rFonts w:hint="eastAsia" w:ascii="宋体" w:hAnsi="宋体" w:eastAsia="宋体" w:cs="宋体"/>
          <w:snapToGrid w:val="0"/>
          <w:color w:val="000000" w:themeColor="text1"/>
          <w:sz w:val="28"/>
          <w:szCs w:val="28"/>
          <w:shd w:val="clear" w:color="auto" w:fill="auto"/>
          <w14:textFill>
            <w14:solidFill>
              <w14:schemeClr w14:val="tx1"/>
            </w14:solidFill>
          </w14:textFill>
        </w:rPr>
        <w:t>）；</w:t>
      </w:r>
    </w:p>
    <w:p w14:paraId="3AC0177B">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《国家安全监管总局关于公布首批重点监管的危险化学品名录的通知》（安监总管三〔2011〕95号）；</w:t>
      </w:r>
    </w:p>
    <w:p w14:paraId="5AAAB836">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《国家安全监管总局关于公布第二批重点监管危险化学品名录的通知》（安监总管三〔2013〕12号）；</w:t>
      </w:r>
    </w:p>
    <w:p w14:paraId="340ED5F4">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《危险化学品使用量的数量标准（2013年版）》（国家安全生产监督管理总局中华人民共和国公安部中华人民共和国农业部2013年第9号公告）；</w:t>
      </w:r>
    </w:p>
    <w:p w14:paraId="7572E529">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《国家安全监管总局关于进一步加强工商贸企业粉尘爆炸事故防范工作的通知》（安监总管四〔2010〕38号）；</w:t>
      </w:r>
    </w:p>
    <w:p w14:paraId="0A63B0D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《仓库防火安全管理规则》（中华人民共和国公安部令第6号）；</w:t>
      </w:r>
    </w:p>
    <w:p w14:paraId="0DB42D89">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《易制爆危险化学品名录》（2017年版）（中华人民共和国公安部</w:t>
      </w:r>
      <w:r>
        <w:rPr>
          <w:rFonts w:hint="eastAsia" w:ascii="宋体" w:hAnsi="宋体" w:eastAsia="宋体" w:cs="宋体"/>
          <w:snapToGrid w:val="0"/>
          <w:color w:val="auto"/>
          <w:sz w:val="28"/>
          <w:szCs w:val="28"/>
          <w:lang w:eastAsia="zh-CN"/>
        </w:rPr>
        <w:t>，</w:t>
      </w:r>
      <w:r>
        <w:rPr>
          <w:rFonts w:hint="eastAsia" w:ascii="宋体" w:hAnsi="宋体" w:eastAsia="宋体" w:cs="宋体"/>
          <w:snapToGrid w:val="0"/>
          <w:color w:val="auto"/>
          <w:sz w:val="28"/>
          <w:szCs w:val="28"/>
        </w:rPr>
        <w:t>2017年5月1日实施）；</w:t>
      </w:r>
    </w:p>
    <w:p w14:paraId="2E6092C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《消防监督检查规定》（中华人民共和国公安部令第120号）；</w:t>
      </w:r>
    </w:p>
    <w:p w14:paraId="645FE25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《起重机械安全监察规定》（中华人民共和国国家质量监督检验检疫总局令第92号）；</w:t>
      </w:r>
    </w:p>
    <w:p w14:paraId="77C6E768">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《质检总局关于修订《特种设备目录》的公告》（国家质量监督检验检疫总局2014年第114号）；</w:t>
      </w:r>
    </w:p>
    <w:p w14:paraId="67F1CF9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《国家质量监督检验检疫总局关于修改&lt;特种设备作业人员监督管理办法&gt;的决定》（国家质量监督检验检疫总局第140号）；</w:t>
      </w:r>
    </w:p>
    <w:p w14:paraId="37A1D5EB">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《爆炸危险场所安全规定》（中华人民共和国劳部发〔1995〕56号）；</w:t>
      </w:r>
    </w:p>
    <w:p w14:paraId="7E2AE681">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lang w:eastAsia="zh-CN"/>
        </w:rPr>
      </w:pPr>
      <w:r>
        <w:rPr>
          <w:rFonts w:hint="eastAsia" w:ascii="宋体" w:hAnsi="宋体" w:eastAsia="宋体" w:cs="宋体"/>
          <w:snapToGrid w:val="0"/>
          <w:color w:val="auto"/>
          <w:sz w:val="28"/>
          <w:szCs w:val="28"/>
        </w:rPr>
        <w:t>《防雷减灾管理办法》（中国气象局第24号）</w:t>
      </w:r>
      <w:r>
        <w:rPr>
          <w:rFonts w:hint="eastAsia" w:ascii="宋体" w:hAnsi="宋体" w:eastAsia="宋体" w:cs="宋体"/>
          <w:color w:val="auto"/>
          <w:sz w:val="28"/>
          <w:szCs w:val="28"/>
          <w:lang w:eastAsia="zh-CN"/>
        </w:rPr>
        <w:t>：</w:t>
      </w:r>
    </w:p>
    <w:p w14:paraId="680FB879">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应急管理部办公厅关于修订《冶金有色建材机械轻工纺织烟草商贸行业安全监管分类标准（试行）》的通知</w:t>
      </w: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应急厅〔2019〕17号</w:t>
      </w:r>
      <w:r>
        <w:rPr>
          <w:rFonts w:hint="eastAsia" w:ascii="宋体" w:hAnsi="宋体" w:eastAsia="宋体" w:cs="宋体"/>
          <w:color w:val="auto"/>
          <w:spacing w:val="0"/>
          <w:position w:val="0"/>
          <w:sz w:val="28"/>
          <w:szCs w:val="28"/>
          <w:lang w:eastAsia="zh-CN"/>
        </w:rPr>
        <w:t>）；</w:t>
      </w:r>
    </w:p>
    <w:p w14:paraId="7742D7E0">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工业和信息化部关于进一步加强工业行业安全生产管理的指导意见</w:t>
      </w: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工信部安全〔2020〕83号</w:t>
      </w:r>
      <w:r>
        <w:rPr>
          <w:rFonts w:hint="eastAsia" w:ascii="宋体" w:hAnsi="宋体" w:eastAsia="宋体" w:cs="宋体"/>
          <w:color w:val="auto"/>
          <w:spacing w:val="0"/>
          <w:position w:val="0"/>
          <w:sz w:val="28"/>
          <w:szCs w:val="28"/>
          <w:lang w:eastAsia="zh-CN"/>
        </w:rPr>
        <w:t>）；</w:t>
      </w:r>
    </w:p>
    <w:p w14:paraId="234232C7">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冶金企业和有色金属企业安全生产规定</w:t>
      </w:r>
      <w:r>
        <w:rPr>
          <w:rFonts w:hint="eastAsia" w:ascii="宋体" w:hAnsi="宋体" w:eastAsia="宋体" w:cs="宋体"/>
          <w:color w:val="auto"/>
          <w:spacing w:val="0"/>
          <w:position w:val="0"/>
          <w:sz w:val="28"/>
          <w:szCs w:val="28"/>
          <w:lang w:eastAsia="zh-CN"/>
        </w:rPr>
        <w:t>》</w:t>
      </w:r>
      <w:r>
        <w:rPr>
          <w:rFonts w:hint="eastAsia" w:ascii="宋体" w:hAnsi="宋体" w:eastAsia="宋体" w:cs="宋体"/>
          <w:color w:val="auto"/>
          <w:spacing w:val="0"/>
          <w:position w:val="0"/>
          <w:sz w:val="28"/>
          <w:szCs w:val="28"/>
        </w:rPr>
        <w:t>（国家安全生产监督管理总局令第91号）</w:t>
      </w:r>
      <w:r>
        <w:rPr>
          <w:rFonts w:hint="eastAsia" w:ascii="宋体" w:hAnsi="宋体" w:eastAsia="宋体" w:cs="宋体"/>
          <w:color w:val="auto"/>
          <w:spacing w:val="0"/>
          <w:position w:val="0"/>
          <w:sz w:val="28"/>
          <w:szCs w:val="28"/>
          <w:lang w:eastAsia="zh-CN"/>
        </w:rPr>
        <w:t>；</w:t>
      </w:r>
    </w:p>
    <w:p w14:paraId="0AFDB7DE">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lang w:eastAsia="zh-CN"/>
        </w:rPr>
      </w:pPr>
      <w:r>
        <w:rPr>
          <w:rFonts w:hint="eastAsia" w:ascii="宋体" w:hAnsi="宋体" w:eastAsia="宋体" w:cs="宋体"/>
          <w:color w:val="auto"/>
          <w:spacing w:val="0"/>
          <w:position w:val="0"/>
          <w:sz w:val="28"/>
          <w:szCs w:val="28"/>
          <w:lang w:eastAsia="zh-CN"/>
        </w:rPr>
        <w:t>《工贸行业遏制重特大事故工作意见》（安监总管四[2016]68号）；</w:t>
      </w:r>
    </w:p>
    <w:p w14:paraId="4488BE1F">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lang w:eastAsia="zh-CN"/>
        </w:rPr>
      </w:pPr>
      <w:r>
        <w:rPr>
          <w:rFonts w:hint="eastAsia" w:ascii="宋体" w:hAnsi="宋体" w:eastAsia="宋体" w:cs="宋体"/>
          <w:color w:val="auto"/>
          <w:spacing w:val="0"/>
          <w:position w:val="0"/>
          <w:sz w:val="28"/>
          <w:szCs w:val="28"/>
          <w:lang w:eastAsia="zh-CN"/>
        </w:rPr>
        <w:t>《国家安全监管总局关于印发开展工贸企业较大危险因素辨识管控提升防范事故能力行动计划的通知》（安监总管四[2016]31号）；</w:t>
      </w:r>
    </w:p>
    <w:p w14:paraId="68C01436">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0000FF"/>
          <w:spacing w:val="0"/>
          <w:position w:val="0"/>
          <w:sz w:val="28"/>
          <w:szCs w:val="28"/>
          <w:shd w:val="clear" w:color="FFFFFF" w:fill="D9D9D9"/>
        </w:rPr>
      </w:pPr>
      <w:r>
        <w:rPr>
          <w:rFonts w:hint="eastAsia" w:ascii="宋体" w:hAnsi="宋体" w:eastAsia="宋体" w:cs="宋体"/>
          <w:color w:val="0000FF"/>
          <w:spacing w:val="0"/>
          <w:position w:val="0"/>
          <w:sz w:val="28"/>
          <w:szCs w:val="28"/>
          <w:shd w:val="clear" w:color="FFFFFF" w:fill="D9D9D9"/>
          <w:lang w:eastAsia="zh-CN"/>
        </w:rPr>
        <w:t>《工贸</w:t>
      </w:r>
      <w:r>
        <w:rPr>
          <w:rFonts w:hint="eastAsia" w:ascii="宋体" w:hAnsi="宋体" w:eastAsia="宋体" w:cs="宋体"/>
          <w:color w:val="0000FF"/>
          <w:spacing w:val="0"/>
          <w:position w:val="0"/>
          <w:sz w:val="28"/>
          <w:szCs w:val="28"/>
          <w:shd w:val="clear" w:color="FFFFFF" w:fill="D9D9D9"/>
          <w:lang w:val="en-US" w:eastAsia="zh-CN"/>
        </w:rPr>
        <w:t>企业</w:t>
      </w:r>
      <w:r>
        <w:rPr>
          <w:rFonts w:hint="eastAsia" w:ascii="宋体" w:hAnsi="宋体" w:eastAsia="宋体" w:cs="宋体"/>
          <w:color w:val="0000FF"/>
          <w:spacing w:val="0"/>
          <w:position w:val="0"/>
          <w:sz w:val="28"/>
          <w:szCs w:val="28"/>
          <w:shd w:val="clear" w:color="FFFFFF" w:fill="D9D9D9"/>
          <w:lang w:eastAsia="zh-CN"/>
        </w:rPr>
        <w:t>重大事故隐患判定标准》（</w:t>
      </w:r>
      <w:r>
        <w:rPr>
          <w:rFonts w:hint="eastAsia" w:ascii="宋体" w:hAnsi="宋体" w:eastAsia="宋体" w:cs="宋体"/>
          <w:color w:val="0000FF"/>
          <w:spacing w:val="0"/>
          <w:position w:val="0"/>
          <w:sz w:val="28"/>
          <w:szCs w:val="28"/>
          <w:shd w:val="clear" w:color="FFFFFF" w:fill="D9D9D9"/>
          <w:lang w:val="en-US" w:eastAsia="zh-CN"/>
        </w:rPr>
        <w:t>应急管理部令第10号，2023年5月15日起施行</w:t>
      </w:r>
      <w:r>
        <w:rPr>
          <w:rFonts w:hint="eastAsia" w:ascii="宋体" w:hAnsi="宋体" w:eastAsia="宋体" w:cs="宋体"/>
          <w:color w:val="0000FF"/>
          <w:spacing w:val="0"/>
          <w:position w:val="0"/>
          <w:sz w:val="28"/>
          <w:szCs w:val="28"/>
          <w:shd w:val="clear" w:color="FFFFFF" w:fill="D9D9D9"/>
          <w:lang w:eastAsia="zh-CN"/>
        </w:rPr>
        <w:t>）；</w:t>
      </w:r>
    </w:p>
    <w:p w14:paraId="5C67017F">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rPr>
      </w:pPr>
      <w:r>
        <w:rPr>
          <w:rFonts w:hint="eastAsia" w:ascii="宋体" w:hAnsi="宋体" w:eastAsia="宋体" w:cs="宋体"/>
          <w:color w:val="auto"/>
          <w:spacing w:val="0"/>
          <w:position w:val="0"/>
          <w:sz w:val="28"/>
          <w:szCs w:val="28"/>
          <w:lang w:val="en-US" w:eastAsia="zh-CN"/>
        </w:rPr>
        <w:t>《建设</w:t>
      </w:r>
      <w:r>
        <w:rPr>
          <w:rFonts w:hint="eastAsia" w:ascii="宋体" w:hAnsi="宋体" w:eastAsia="宋体" w:cs="宋体"/>
          <w:color w:val="auto"/>
          <w:sz w:val="28"/>
          <w:szCs w:val="28"/>
          <w:lang w:val="en-US" w:eastAsia="zh-CN"/>
        </w:rPr>
        <w:t>工程消防设计审查验收管理暂行规定》（住建部令第51号）；</w:t>
      </w:r>
    </w:p>
    <w:p w14:paraId="63B0AEBC">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snapToGrid w:val="0"/>
          <w:color w:val="auto"/>
          <w:kern w:val="0"/>
          <w:sz w:val="28"/>
          <w:szCs w:val="28"/>
        </w:rPr>
      </w:pPr>
      <w:r>
        <w:rPr>
          <w:rFonts w:hint="eastAsia" w:ascii="宋体" w:hAnsi="宋体" w:eastAsia="宋体" w:cs="宋体"/>
          <w:color w:val="auto"/>
          <w:spacing w:val="0"/>
          <w:position w:val="0"/>
          <w:sz w:val="28"/>
          <w:szCs w:val="28"/>
          <w:lang w:val="en-US" w:eastAsia="zh-CN"/>
        </w:rPr>
        <w:t>《产业结构调整指导目录》（2024年本）。</w:t>
      </w:r>
      <w:bookmarkStart w:id="32" w:name="_Toc21054"/>
      <w:bookmarkStart w:id="33" w:name="_Toc12833"/>
    </w:p>
    <w:p w14:paraId="5C2AD3F7">
      <w:pPr>
        <w:keepNext w:val="0"/>
        <w:keepLines w:val="0"/>
        <w:pageBreakBefore w:val="0"/>
        <w:widowControl w:val="0"/>
        <w:numPr>
          <w:ilvl w:val="0"/>
          <w:numId w:val="1"/>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lang w:val="en-US" w:eastAsia="zh-CN"/>
        </w:rPr>
      </w:pPr>
      <w:r>
        <w:rPr>
          <w:rFonts w:hint="eastAsia" w:ascii="宋体" w:hAnsi="宋体" w:eastAsia="宋体" w:cs="宋体"/>
          <w:color w:val="auto"/>
          <w:spacing w:val="0"/>
          <w:position w:val="0"/>
          <w:sz w:val="28"/>
          <w:szCs w:val="28"/>
          <w:lang w:val="en-US" w:eastAsia="zh-CN"/>
        </w:rPr>
        <w:t>《国家安全监管总局关于印发淘汰落后安全技术工艺、设备目录（2016 年）的通知》（安监总科技〔2016〕137 号）。</w:t>
      </w:r>
    </w:p>
    <w:p w14:paraId="003CB9CF">
      <w:pPr>
        <w:keepNext w:val="0"/>
        <w:keepLines w:val="0"/>
        <w:pageBreakBefore w:val="0"/>
        <w:widowControl w:val="0"/>
        <w:numPr>
          <w:ilvl w:val="0"/>
          <w:numId w:val="0"/>
        </w:numPr>
        <w:tabs>
          <w:tab w:val="left" w:pos="0"/>
          <w:tab w:val="left" w:pos="630"/>
          <w:tab w:val="left" w:pos="720"/>
        </w:tabs>
        <w:kinsoku/>
        <w:wordWrap/>
        <w:overflowPunct/>
        <w:topLinePunct w:val="0"/>
        <w:autoSpaceDE/>
        <w:autoSpaceDN/>
        <w:bidi w:val="0"/>
        <w:adjustRightInd/>
        <w:snapToGrid w:val="0"/>
        <w:spacing w:line="600" w:lineRule="exact"/>
        <w:ind w:right="0" w:rightChars="0"/>
        <w:textAlignment w:val="auto"/>
        <w:outlineLvl w:val="2"/>
        <w:rPr>
          <w:rFonts w:hint="eastAsia" w:ascii="宋体" w:hAnsi="宋体" w:eastAsia="宋体" w:cs="宋体"/>
          <w:b/>
          <w:bCs/>
          <w:snapToGrid w:val="0"/>
          <w:color w:val="auto"/>
          <w:kern w:val="0"/>
          <w:sz w:val="28"/>
          <w:szCs w:val="28"/>
        </w:rPr>
      </w:pPr>
      <w:bookmarkStart w:id="34" w:name="_Toc26866"/>
      <w:r>
        <w:rPr>
          <w:rFonts w:hint="eastAsia" w:ascii="宋体" w:hAnsi="宋体" w:eastAsia="宋体" w:cs="宋体"/>
          <w:b/>
          <w:bCs/>
          <w:snapToGrid w:val="0"/>
          <w:color w:val="auto"/>
          <w:kern w:val="0"/>
          <w:sz w:val="28"/>
          <w:szCs w:val="28"/>
        </w:rPr>
        <w:t>1.2.4地方有关法规文件</w:t>
      </w:r>
      <w:bookmarkEnd w:id="32"/>
      <w:bookmarkEnd w:id="33"/>
      <w:bookmarkEnd w:id="34"/>
    </w:p>
    <w:p w14:paraId="059D8191">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《云南省安全生产条例》（云南省第十二届人民代表大会常务委员会第三十八次会议于2017年11月30日修订通过，2018年1月1日起施行）；</w:t>
      </w:r>
    </w:p>
    <w:p w14:paraId="3AE50754">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《云南省消防条例》（云南省十一届人大常委会公告第31号，自2011年1月1日起施行）；</w:t>
      </w:r>
    </w:p>
    <w:p w14:paraId="6B4E49C3">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《云南省安全生产事故调查暂行规定》（云南省人民政府办公厅2005年12月30日印发）；</w:t>
      </w:r>
    </w:p>
    <w:p w14:paraId="5F8D600D">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《云南省人民政府贯彻落实国务院关于进一步加强企业安全生产工作通知的实施意见》（云政发〔2010〕157号）；</w:t>
      </w:r>
    </w:p>
    <w:p w14:paraId="04FE7179">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《云南省人民政府关于进一步加强安全生产工作的决定》（云政发〔2011〕229号）；</w:t>
      </w:r>
    </w:p>
    <w:p w14:paraId="2CAD16BB">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snapToGrid w:val="0"/>
          <w:color w:val="auto"/>
          <w:sz w:val="28"/>
          <w:szCs w:val="28"/>
          <w:lang w:eastAsia="zh-CN"/>
        </w:rPr>
      </w:pPr>
      <w:r>
        <w:rPr>
          <w:rFonts w:hint="eastAsia" w:ascii="宋体" w:hAnsi="宋体" w:eastAsia="宋体" w:cs="宋体"/>
          <w:snapToGrid w:val="0"/>
          <w:color w:val="auto"/>
          <w:sz w:val="28"/>
          <w:szCs w:val="28"/>
          <w:lang w:eastAsia="zh-CN"/>
        </w:rPr>
        <w:t>《云南省生产安全事故应急办法》（省政府令第227号）</w:t>
      </w:r>
      <w:r>
        <w:rPr>
          <w:rFonts w:hint="eastAsia" w:ascii="宋体" w:hAnsi="宋体" w:eastAsia="宋体" w:cs="宋体"/>
          <w:snapToGrid w:val="0"/>
          <w:color w:val="auto"/>
          <w:sz w:val="28"/>
          <w:szCs w:val="28"/>
        </w:rPr>
        <w:t>；</w:t>
      </w:r>
    </w:p>
    <w:p w14:paraId="3E37E22B">
      <w:pPr>
        <w:keepNext w:val="0"/>
        <w:keepLines w:val="0"/>
        <w:pageBreakBefore w:val="0"/>
        <w:widowControl w:val="0"/>
        <w:numPr>
          <w:ilvl w:val="0"/>
          <w:numId w:val="2"/>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lang w:eastAsia="zh-CN"/>
        </w:rPr>
      </w:pPr>
      <w:r>
        <w:rPr>
          <w:rFonts w:hint="eastAsia" w:ascii="宋体" w:hAnsi="宋体" w:eastAsia="宋体" w:cs="宋体"/>
          <w:color w:val="auto"/>
          <w:spacing w:val="0"/>
          <w:position w:val="0"/>
          <w:sz w:val="28"/>
          <w:szCs w:val="28"/>
        </w:rPr>
        <w:t>《云南省人民政府关于</w:t>
      </w:r>
      <w:r>
        <w:rPr>
          <w:rFonts w:hint="eastAsia" w:ascii="宋体" w:hAnsi="宋体" w:eastAsia="宋体" w:cs="宋体"/>
          <w:color w:val="auto"/>
          <w:spacing w:val="0"/>
          <w:position w:val="0"/>
          <w:sz w:val="28"/>
          <w:szCs w:val="28"/>
          <w:lang w:val="en-US" w:eastAsia="zh-CN"/>
        </w:rPr>
        <w:t>实施安全工程三年行动计划的意见</w:t>
      </w:r>
      <w:r>
        <w:rPr>
          <w:rFonts w:hint="eastAsia" w:ascii="宋体" w:hAnsi="宋体" w:eastAsia="宋体" w:cs="宋体"/>
          <w:color w:val="auto"/>
          <w:spacing w:val="0"/>
          <w:position w:val="0"/>
          <w:sz w:val="28"/>
          <w:szCs w:val="28"/>
        </w:rPr>
        <w:t>》（云政发〔201</w:t>
      </w:r>
      <w:r>
        <w:rPr>
          <w:rFonts w:hint="eastAsia" w:ascii="宋体" w:hAnsi="宋体" w:eastAsia="宋体" w:cs="宋体"/>
          <w:color w:val="auto"/>
          <w:spacing w:val="0"/>
          <w:position w:val="0"/>
          <w:sz w:val="28"/>
          <w:szCs w:val="28"/>
          <w:lang w:val="en-US" w:eastAsia="zh-CN"/>
        </w:rPr>
        <w:t>5</w:t>
      </w:r>
      <w:r>
        <w:rPr>
          <w:rFonts w:hint="eastAsia" w:ascii="宋体" w:hAnsi="宋体" w:eastAsia="宋体" w:cs="宋体"/>
          <w:color w:val="auto"/>
          <w:spacing w:val="0"/>
          <w:position w:val="0"/>
          <w:sz w:val="28"/>
          <w:szCs w:val="28"/>
        </w:rPr>
        <w:t>〕</w:t>
      </w:r>
      <w:r>
        <w:rPr>
          <w:rFonts w:hint="eastAsia" w:ascii="宋体" w:hAnsi="宋体" w:eastAsia="宋体" w:cs="宋体"/>
          <w:color w:val="auto"/>
          <w:spacing w:val="0"/>
          <w:position w:val="0"/>
          <w:sz w:val="28"/>
          <w:szCs w:val="28"/>
          <w:lang w:val="en-US" w:eastAsia="zh-CN"/>
        </w:rPr>
        <w:t>50</w:t>
      </w:r>
      <w:r>
        <w:rPr>
          <w:rFonts w:hint="eastAsia" w:ascii="宋体" w:hAnsi="宋体" w:eastAsia="宋体" w:cs="宋体"/>
          <w:color w:val="auto"/>
          <w:spacing w:val="0"/>
          <w:position w:val="0"/>
          <w:sz w:val="28"/>
          <w:szCs w:val="28"/>
        </w:rPr>
        <w:t>号）</w:t>
      </w:r>
      <w:r>
        <w:rPr>
          <w:rFonts w:hint="eastAsia" w:ascii="宋体" w:hAnsi="宋体" w:eastAsia="宋体" w:cs="宋体"/>
          <w:color w:val="auto"/>
          <w:spacing w:val="0"/>
          <w:position w:val="0"/>
          <w:sz w:val="28"/>
          <w:szCs w:val="28"/>
          <w:lang w:eastAsia="zh-CN"/>
        </w:rPr>
        <w:t>；</w:t>
      </w:r>
    </w:p>
    <w:p w14:paraId="79E1BDA0">
      <w:pPr>
        <w:keepNext w:val="0"/>
        <w:keepLines w:val="0"/>
        <w:pageBreakBefore w:val="0"/>
        <w:widowControl w:val="0"/>
        <w:numPr>
          <w:ilvl w:val="0"/>
          <w:numId w:val="2"/>
        </w:numPr>
        <w:tabs>
          <w:tab w:val="left" w:pos="0"/>
          <w:tab w:val="left" w:pos="630"/>
          <w:tab w:val="left" w:pos="720"/>
        </w:tabs>
        <w:kinsoku/>
        <w:wordWrap/>
        <w:overflowPunct/>
        <w:topLinePunct w:val="0"/>
        <w:autoSpaceDE/>
        <w:autoSpaceDN/>
        <w:bidi w:val="0"/>
        <w:adjustRightInd/>
        <w:snapToGrid w:val="0"/>
        <w:spacing w:line="600" w:lineRule="exact"/>
        <w:ind w:left="0" w:leftChars="0" w:right="0" w:rightChars="0" w:firstLine="560" w:firstLineChars="200"/>
        <w:textAlignment w:val="auto"/>
        <w:rPr>
          <w:rFonts w:hint="eastAsia" w:ascii="宋体" w:hAnsi="宋体" w:eastAsia="宋体" w:cs="宋体"/>
          <w:color w:val="auto"/>
          <w:spacing w:val="0"/>
          <w:position w:val="0"/>
          <w:sz w:val="28"/>
          <w:szCs w:val="28"/>
          <w:lang w:val="en-US" w:eastAsia="zh-CN"/>
        </w:rPr>
      </w:pPr>
      <w:r>
        <w:rPr>
          <w:rFonts w:hint="eastAsia" w:ascii="宋体" w:hAnsi="宋体" w:eastAsia="宋体" w:cs="宋体"/>
          <w:color w:val="auto"/>
          <w:spacing w:val="0"/>
          <w:position w:val="0"/>
          <w:sz w:val="28"/>
          <w:szCs w:val="28"/>
          <w:lang w:val="en-US" w:eastAsia="zh-CN"/>
        </w:rPr>
        <w:t>《中共云南省委云南省人民政府关于推进安全生产领域改革发展的实施意见》（云政发（2017）22号）；</w:t>
      </w:r>
    </w:p>
    <w:p w14:paraId="23E591D8">
      <w:pPr>
        <w:pStyle w:val="6"/>
        <w:keepNext w:val="0"/>
        <w:keepLines w:val="0"/>
        <w:pageBreakBefore w:val="0"/>
        <w:widowControl w:val="0"/>
        <w:numPr>
          <w:ilvl w:val="0"/>
          <w:numId w:val="2"/>
        </w:numPr>
        <w:kinsoku/>
        <w:wordWrap/>
        <w:overflowPunct/>
        <w:topLinePunct w:val="0"/>
        <w:autoSpaceDE/>
        <w:autoSpaceDN/>
        <w:bidi w:val="0"/>
        <w:adjustRightInd/>
        <w:spacing w:line="600" w:lineRule="exact"/>
        <w:ind w:left="0" w:leftChars="0"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pacing w:val="0"/>
          <w:position w:val="0"/>
          <w:sz w:val="28"/>
          <w:szCs w:val="28"/>
          <w:lang w:val="en-US" w:eastAsia="zh-CN"/>
        </w:rPr>
        <w:t>《云南省人民政府关于印发云南省生产经营单位安全生产主体责任规定的通知 》（云政规〔2022〕4号 ）</w:t>
      </w:r>
      <w:r>
        <w:rPr>
          <w:rFonts w:hint="eastAsia" w:hAnsi="宋体" w:cs="宋体"/>
          <w:color w:val="auto"/>
          <w:spacing w:val="0"/>
          <w:position w:val="0"/>
          <w:sz w:val="28"/>
          <w:szCs w:val="28"/>
          <w:lang w:val="en-US" w:eastAsia="zh-CN"/>
        </w:rPr>
        <w:t>；</w:t>
      </w:r>
    </w:p>
    <w:p w14:paraId="344B3893">
      <w:pPr>
        <w:pStyle w:val="6"/>
        <w:keepNext w:val="0"/>
        <w:keepLines w:val="0"/>
        <w:pageBreakBefore w:val="0"/>
        <w:widowControl w:val="0"/>
        <w:numPr>
          <w:ilvl w:val="0"/>
          <w:numId w:val="2"/>
        </w:numPr>
        <w:kinsoku/>
        <w:wordWrap/>
        <w:overflowPunct/>
        <w:topLinePunct w:val="0"/>
        <w:autoSpaceDE/>
        <w:autoSpaceDN/>
        <w:bidi w:val="0"/>
        <w:adjustRightInd/>
        <w:spacing w:line="600" w:lineRule="exact"/>
        <w:ind w:left="0" w:leftChars="0" w:firstLine="560" w:firstLineChars="200"/>
        <w:textAlignment w:val="auto"/>
        <w:rPr>
          <w:rFonts w:hint="eastAsia" w:ascii="宋体" w:hAnsi="宋体" w:eastAsia="宋体" w:cs="宋体"/>
          <w:color w:val="auto"/>
          <w:spacing w:val="0"/>
          <w:position w:val="0"/>
          <w:sz w:val="28"/>
          <w:szCs w:val="28"/>
          <w:lang w:val="en-US" w:eastAsia="zh-CN"/>
        </w:rPr>
      </w:pPr>
      <w:r>
        <w:rPr>
          <w:rFonts w:hint="eastAsia" w:ascii="宋体" w:hAnsi="宋体" w:eastAsia="宋体" w:cs="宋体"/>
          <w:color w:val="auto"/>
          <w:spacing w:val="0"/>
          <w:position w:val="0"/>
          <w:sz w:val="28"/>
          <w:szCs w:val="28"/>
          <w:lang w:val="en-US" w:eastAsia="zh-CN"/>
        </w:rPr>
        <w:t>《云南省应急管理厅关于印发 &lt;云南省工贸企业安全生产主体责任重点事项清单（暂行）&gt; 的通知》（云应急〔2022〕9 号）</w:t>
      </w:r>
      <w:r>
        <w:rPr>
          <w:rFonts w:hint="eastAsia" w:hAnsi="宋体" w:cs="宋体"/>
          <w:color w:val="auto"/>
          <w:spacing w:val="0"/>
          <w:position w:val="0"/>
          <w:sz w:val="28"/>
          <w:szCs w:val="28"/>
          <w:lang w:val="en-US" w:eastAsia="zh-CN"/>
        </w:rPr>
        <w:t>；</w:t>
      </w:r>
    </w:p>
    <w:p w14:paraId="0CD5EE16">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textAlignment w:val="auto"/>
        <w:rPr>
          <w:rFonts w:hint="eastAsia"/>
          <w:sz w:val="28"/>
          <w:szCs w:val="28"/>
          <w:lang w:val="en-US" w:eastAsia="zh-CN"/>
        </w:rPr>
      </w:pPr>
      <w:r>
        <w:rPr>
          <w:sz w:val="28"/>
          <w:szCs w:val="28"/>
        </w:rPr>
        <w:t>《云南省应急管理厅关于印发 &lt;云南省工贸行业企业安全风险源点定性定量判别参考标准指南（试行）&gt; 的通知》（云应急〔2022〕8 号）</w:t>
      </w:r>
      <w:r>
        <w:rPr>
          <w:rFonts w:hint="eastAsia"/>
          <w:sz w:val="28"/>
          <w:szCs w:val="28"/>
          <w:lang w:eastAsia="zh-CN"/>
        </w:rPr>
        <w:t>；</w:t>
      </w:r>
    </w:p>
    <w:p w14:paraId="4D71C4AD">
      <w:pPr>
        <w:keepNext w:val="0"/>
        <w:keepLines w:val="0"/>
        <w:pageBreakBefore w:val="0"/>
        <w:widowControl w:val="0"/>
        <w:numPr>
          <w:ilvl w:val="0"/>
          <w:numId w:val="2"/>
        </w:numPr>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i w:val="0"/>
          <w:iCs w:val="0"/>
          <w:caps w:val="0"/>
          <w:spacing w:val="0"/>
          <w:sz w:val="28"/>
          <w:szCs w:val="28"/>
          <w:shd w:val="clear" w:fill="FFFFFF"/>
        </w:rPr>
        <w:t>《云南省安全生产委员会办公室关于进一步加强企业安全培训教育工作的通知》（云安办〔2022〕9 号）</w:t>
      </w:r>
      <w:r>
        <w:rPr>
          <w:rFonts w:hint="eastAsia" w:ascii="宋体" w:hAnsi="宋体" w:eastAsia="宋体" w:cs="宋体"/>
          <w:i w:val="0"/>
          <w:iCs w:val="0"/>
          <w:caps w:val="0"/>
          <w:spacing w:val="0"/>
          <w:sz w:val="28"/>
          <w:szCs w:val="28"/>
          <w:shd w:val="clear" w:fill="FFFFFF"/>
          <w:lang w:eastAsia="zh-CN"/>
        </w:rPr>
        <w:t>。</w:t>
      </w:r>
    </w:p>
    <w:p w14:paraId="3B695A79">
      <w:pPr>
        <w:pStyle w:val="4"/>
        <w:pageBreakBefore w:val="0"/>
        <w:widowControl w:val="0"/>
        <w:wordWrap/>
        <w:topLinePunct w:val="0"/>
        <w:autoSpaceDE/>
        <w:autoSpaceDN/>
        <w:bidi w:val="0"/>
        <w:adjustRightInd/>
        <w:snapToGrid w:val="0"/>
        <w:spacing w:before="0" w:after="0" w:line="600" w:lineRule="exact"/>
        <w:ind w:left="0" w:leftChars="0" w:firstLine="0" w:firstLineChars="0"/>
        <w:textAlignment w:val="auto"/>
        <w:rPr>
          <w:rFonts w:hint="eastAsia" w:ascii="宋体" w:hAnsi="宋体" w:eastAsia="宋体" w:cs="宋体"/>
          <w:snapToGrid w:val="0"/>
          <w:color w:val="auto"/>
          <w:kern w:val="0"/>
          <w:sz w:val="28"/>
          <w:szCs w:val="28"/>
        </w:rPr>
      </w:pPr>
      <w:bookmarkStart w:id="35" w:name="_Toc335926129"/>
      <w:bookmarkStart w:id="36" w:name="_Toc17297"/>
      <w:bookmarkStart w:id="37" w:name="_Toc31498"/>
      <w:bookmarkStart w:id="38" w:name="_Toc5259"/>
      <w:bookmarkStart w:id="39" w:name="_Toc32169"/>
      <w:bookmarkStart w:id="40" w:name="_Toc19143"/>
      <w:r>
        <w:rPr>
          <w:rFonts w:hint="eastAsia" w:ascii="宋体" w:hAnsi="宋体" w:eastAsia="宋体" w:cs="宋体"/>
          <w:snapToGrid w:val="0"/>
          <w:color w:val="auto"/>
          <w:kern w:val="0"/>
          <w:sz w:val="28"/>
          <w:szCs w:val="28"/>
        </w:rPr>
        <w:t>1.2.5国家标准</w:t>
      </w:r>
      <w:bookmarkEnd w:id="35"/>
      <w:bookmarkEnd w:id="36"/>
      <w:bookmarkEnd w:id="37"/>
      <w:bookmarkEnd w:id="38"/>
      <w:bookmarkEnd w:id="39"/>
      <w:bookmarkEnd w:id="40"/>
    </w:p>
    <w:p w14:paraId="703F6D1B">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1、《工业企业设计卫生标准》（GBZ1-2010）；</w:t>
      </w:r>
    </w:p>
    <w:p w14:paraId="5E428092">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2、《工业企业总平面设计规范》（GB50187-2012）；</w:t>
      </w:r>
    </w:p>
    <w:p w14:paraId="6F0CBED3">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ascii="宋体" w:hAnsi="宋体" w:eastAsia="宋体" w:cs="宋体"/>
          <w:snapToGrid w:val="0"/>
          <w:color w:val="auto"/>
          <w:sz w:val="28"/>
          <w:szCs w:val="30"/>
          <w:lang w:eastAsia="zh-CN"/>
        </w:rPr>
        <w:t>有色金属工业总图规划及运输设计标准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GB50544-2022</w:t>
      </w:r>
      <w:r>
        <w:rPr>
          <w:rFonts w:hint="eastAsia" w:ascii="宋体" w:hAnsi="宋体" w:eastAsia="宋体" w:cs="宋体"/>
          <w:snapToGrid w:val="0"/>
          <w:color w:val="auto"/>
          <w:sz w:val="28"/>
          <w:szCs w:val="30"/>
        </w:rPr>
        <w:t>）；</w:t>
      </w:r>
    </w:p>
    <w:p w14:paraId="2FC52C8D">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4、《生产过程安全卫生要求总则》（</w:t>
      </w:r>
      <w:r>
        <w:rPr>
          <w:rFonts w:hint="eastAsia" w:ascii="宋体" w:hAnsi="宋体" w:eastAsia="宋体" w:cs="宋体"/>
          <w:snapToGrid w:val="0"/>
          <w:color w:val="auto"/>
          <w:sz w:val="28"/>
          <w:szCs w:val="30"/>
          <w:lang w:eastAsia="zh-CN"/>
        </w:rPr>
        <w:t>GB/T12801-2008</w:t>
      </w:r>
      <w:r>
        <w:rPr>
          <w:rFonts w:hint="eastAsia" w:ascii="宋体" w:hAnsi="宋体" w:eastAsia="宋体" w:cs="宋体"/>
          <w:snapToGrid w:val="0"/>
          <w:color w:val="auto"/>
          <w:sz w:val="28"/>
          <w:szCs w:val="30"/>
        </w:rPr>
        <w:t>）；</w:t>
      </w:r>
    </w:p>
    <w:p w14:paraId="0310FD5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5、《生产设备安全卫生设计总则》（GB5083-</w:t>
      </w:r>
      <w:r>
        <w:rPr>
          <w:rFonts w:hint="eastAsia" w:hAnsi="宋体" w:cs="宋体"/>
          <w:snapToGrid w:val="0"/>
          <w:color w:val="auto"/>
          <w:sz w:val="28"/>
          <w:szCs w:val="30"/>
          <w:lang w:val="en-US" w:eastAsia="zh-CN"/>
        </w:rPr>
        <w:t>2023</w:t>
      </w:r>
      <w:r>
        <w:rPr>
          <w:rFonts w:hint="eastAsia" w:ascii="宋体" w:hAnsi="宋体" w:eastAsia="宋体" w:cs="宋体"/>
          <w:snapToGrid w:val="0"/>
          <w:color w:val="auto"/>
          <w:sz w:val="28"/>
          <w:szCs w:val="30"/>
        </w:rPr>
        <w:t>）；</w:t>
      </w:r>
    </w:p>
    <w:p w14:paraId="060BFC9C">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6、《工业企业厂内铁路、道路运输安全规程》（GB4387-2008）；</w:t>
      </w:r>
    </w:p>
    <w:p w14:paraId="7F6650C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7、《工业企业噪声控制设计规范》（GB/T50087-2013）；</w:t>
      </w:r>
    </w:p>
    <w:p w14:paraId="131113BB">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8、《</w:t>
      </w:r>
      <w:r>
        <w:rPr>
          <w:rFonts w:hint="eastAsia" w:ascii="宋体" w:hAnsi="宋体" w:eastAsia="宋体" w:cs="宋体"/>
          <w:snapToGrid w:val="0"/>
          <w:color w:val="auto"/>
          <w:sz w:val="28"/>
          <w:szCs w:val="30"/>
          <w:lang w:eastAsia="zh-CN"/>
        </w:rPr>
        <w:t>工业建筑防腐蚀设计标准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GB/T50046-2018</w:t>
      </w:r>
      <w:r>
        <w:rPr>
          <w:rFonts w:hint="eastAsia" w:ascii="宋体" w:hAnsi="宋体" w:eastAsia="宋体" w:cs="宋体"/>
          <w:snapToGrid w:val="0"/>
          <w:color w:val="auto"/>
          <w:sz w:val="28"/>
          <w:szCs w:val="30"/>
        </w:rPr>
        <w:t>）；</w:t>
      </w:r>
    </w:p>
    <w:p w14:paraId="4FEC65A3">
      <w:pPr>
        <w:pStyle w:val="6"/>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napToGrid w:val="0"/>
          <w:color w:val="0000FF"/>
          <w:sz w:val="28"/>
          <w:szCs w:val="30"/>
          <w:shd w:val="clear" w:color="FFFFFF" w:fill="D9D9D9"/>
          <w:lang w:val="en-US" w:eastAsia="zh-CN" w:bidi="ar-SA"/>
        </w:rPr>
      </w:pPr>
      <w:r>
        <w:rPr>
          <w:rFonts w:hint="eastAsia" w:ascii="宋体" w:hAnsi="宋体" w:eastAsia="宋体" w:cs="宋体"/>
          <w:snapToGrid w:val="0"/>
          <w:color w:val="0000FF"/>
          <w:sz w:val="28"/>
          <w:szCs w:val="30"/>
          <w:shd w:val="clear" w:color="FFFFFF" w:fill="D9D9D9"/>
        </w:rPr>
        <w:t>9、《建筑照明设计标准》</w:t>
      </w:r>
      <w:r>
        <w:rPr>
          <w:rFonts w:hint="eastAsia" w:ascii="宋体" w:hAnsi="宋体" w:eastAsia="宋体" w:cs="宋体"/>
          <w:snapToGrid w:val="0"/>
          <w:color w:val="0000FF"/>
          <w:sz w:val="28"/>
          <w:szCs w:val="30"/>
          <w:shd w:val="clear" w:color="FFFFFF" w:fill="D9D9D9"/>
          <w:lang w:val="en-US" w:eastAsia="zh-CN" w:bidi="ar-SA"/>
        </w:rPr>
        <w:t>（GB/T 50034-2024）；</w:t>
      </w:r>
    </w:p>
    <w:p w14:paraId="38CCE1D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10、《厂矿道路设计规范》（GBJ22-1987）；</w:t>
      </w:r>
    </w:p>
    <w:p w14:paraId="74A21A7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11、《</w:t>
      </w:r>
      <w:r>
        <w:rPr>
          <w:rFonts w:hint="eastAsia" w:ascii="宋体" w:hAnsi="宋体" w:eastAsia="宋体" w:cs="宋体"/>
          <w:snapToGrid w:val="0"/>
          <w:color w:val="auto"/>
          <w:sz w:val="28"/>
          <w:szCs w:val="30"/>
          <w:lang w:eastAsia="zh-CN"/>
        </w:rPr>
        <w:t>工业管道的基本识别色、识别符号和安全标识》</w:t>
      </w:r>
      <w:r>
        <w:rPr>
          <w:rFonts w:hint="eastAsia" w:ascii="宋体" w:hAnsi="宋体" w:eastAsia="宋体" w:cs="宋体"/>
          <w:snapToGrid w:val="0"/>
          <w:color w:val="auto"/>
          <w:sz w:val="28"/>
          <w:szCs w:val="30"/>
        </w:rPr>
        <w:t>（GB7231-2003）；</w:t>
      </w:r>
    </w:p>
    <w:p w14:paraId="4961FCB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12、《企业职工伤亡事故分类》（</w:t>
      </w:r>
      <w:r>
        <w:rPr>
          <w:rFonts w:hint="eastAsia" w:ascii="宋体" w:hAnsi="宋体" w:eastAsia="宋体" w:cs="宋体"/>
          <w:snapToGrid w:val="0"/>
          <w:color w:val="auto"/>
          <w:sz w:val="28"/>
          <w:szCs w:val="30"/>
          <w:lang w:eastAsia="zh-CN"/>
        </w:rPr>
        <w:t>GB/T6441-1986</w:t>
      </w:r>
      <w:r>
        <w:rPr>
          <w:rFonts w:hint="eastAsia" w:ascii="宋体" w:hAnsi="宋体" w:eastAsia="宋体" w:cs="宋体"/>
          <w:snapToGrid w:val="0"/>
          <w:color w:val="auto"/>
          <w:sz w:val="28"/>
          <w:szCs w:val="30"/>
        </w:rPr>
        <w:t>）；</w:t>
      </w:r>
    </w:p>
    <w:p w14:paraId="1F9CE281">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13、《生产过程危险和有害因素分类与代码》（</w:t>
      </w:r>
      <w:r>
        <w:rPr>
          <w:rFonts w:hint="eastAsia" w:ascii="宋体" w:hAnsi="宋体" w:eastAsia="宋体" w:cs="宋体"/>
          <w:snapToGrid w:val="0"/>
          <w:color w:val="auto"/>
          <w:sz w:val="28"/>
          <w:szCs w:val="30"/>
          <w:lang w:eastAsia="zh-CN"/>
        </w:rPr>
        <w:t>GB/T13861-2022</w:t>
      </w:r>
      <w:r>
        <w:rPr>
          <w:rFonts w:hint="eastAsia" w:ascii="宋体" w:hAnsi="宋体" w:eastAsia="宋体" w:cs="宋体"/>
          <w:snapToGrid w:val="0"/>
          <w:color w:val="auto"/>
          <w:sz w:val="28"/>
          <w:szCs w:val="30"/>
        </w:rPr>
        <w:t>）；</w:t>
      </w:r>
    </w:p>
    <w:p w14:paraId="2182DB1D">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14、《建筑设计防火规范》（</w:t>
      </w:r>
      <w:r>
        <w:rPr>
          <w:rFonts w:hint="eastAsia" w:ascii="宋体" w:hAnsi="宋体" w:eastAsia="宋体" w:cs="宋体"/>
          <w:snapToGrid w:val="0"/>
          <w:color w:val="auto"/>
          <w:sz w:val="28"/>
          <w:szCs w:val="30"/>
          <w:lang w:eastAsia="zh-CN"/>
        </w:rPr>
        <w:t>GB50016-2014[2018年版]</w:t>
      </w:r>
      <w:r>
        <w:rPr>
          <w:rFonts w:hint="eastAsia" w:ascii="宋体" w:hAnsi="宋体" w:eastAsia="宋体" w:cs="宋体"/>
          <w:snapToGrid w:val="0"/>
          <w:color w:val="auto"/>
          <w:sz w:val="28"/>
          <w:szCs w:val="30"/>
        </w:rPr>
        <w:t>）；</w:t>
      </w:r>
    </w:p>
    <w:p w14:paraId="7229E59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w:t>
      </w:r>
      <w:r>
        <w:rPr>
          <w:rFonts w:hint="eastAsia" w:hAnsi="宋体" w:cs="宋体"/>
          <w:snapToGrid w:val="0"/>
          <w:color w:val="auto"/>
          <w:sz w:val="28"/>
          <w:szCs w:val="30"/>
          <w:lang w:val="en-US" w:eastAsia="zh-CN"/>
        </w:rPr>
        <w:t>5</w:t>
      </w:r>
      <w:r>
        <w:rPr>
          <w:rFonts w:hint="eastAsia" w:ascii="宋体" w:hAnsi="宋体" w:eastAsia="宋体" w:cs="宋体"/>
          <w:snapToGrid w:val="0"/>
          <w:color w:val="auto"/>
          <w:sz w:val="28"/>
          <w:szCs w:val="30"/>
        </w:rPr>
        <w:t>、《建筑物防雷设计规范》（GB50057-2010）；</w:t>
      </w:r>
    </w:p>
    <w:p w14:paraId="1F4C36D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w:t>
      </w:r>
      <w:r>
        <w:rPr>
          <w:rFonts w:hint="eastAsia" w:hAnsi="宋体" w:cs="宋体"/>
          <w:snapToGrid w:val="0"/>
          <w:color w:val="auto"/>
          <w:sz w:val="28"/>
          <w:szCs w:val="30"/>
          <w:lang w:val="en-US" w:eastAsia="zh-CN"/>
        </w:rPr>
        <w:t>6</w:t>
      </w:r>
      <w:r>
        <w:rPr>
          <w:rFonts w:hint="eastAsia" w:ascii="宋体" w:hAnsi="宋体" w:eastAsia="宋体" w:cs="宋体"/>
          <w:snapToGrid w:val="0"/>
          <w:color w:val="auto"/>
          <w:sz w:val="28"/>
          <w:szCs w:val="30"/>
        </w:rPr>
        <w:t>、《建筑灭火器配置设计规范》（GB50140-2005）；</w:t>
      </w:r>
    </w:p>
    <w:p w14:paraId="68C82EF0">
      <w:pPr>
        <w:pStyle w:val="6"/>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napToGrid w:val="0"/>
          <w:color w:val="000000" w:themeColor="text1"/>
          <w:sz w:val="28"/>
          <w:szCs w:val="30"/>
          <w:shd w:val="clear" w:color="auto" w:fill="auto"/>
          <w14:textFill>
            <w14:solidFill>
              <w14:schemeClr w14:val="tx1"/>
            </w14:solidFill>
          </w14:textFill>
        </w:rPr>
      </w:pPr>
      <w:r>
        <w:rPr>
          <w:rFonts w:hint="eastAsia" w:ascii="宋体" w:hAnsi="宋体" w:eastAsia="宋体" w:cs="宋体"/>
          <w:snapToGrid w:val="0"/>
          <w:color w:val="000000" w:themeColor="text1"/>
          <w:sz w:val="28"/>
          <w:szCs w:val="30"/>
          <w:shd w:val="clear" w:color="auto" w:fill="auto"/>
          <w14:textFill>
            <w14:solidFill>
              <w14:schemeClr w14:val="tx1"/>
            </w14:solidFill>
          </w14:textFill>
        </w:rPr>
        <w:t>1</w:t>
      </w:r>
      <w:r>
        <w:rPr>
          <w:rFonts w:hint="eastAsia" w:hAnsi="宋体" w:cs="宋体"/>
          <w:snapToGrid w:val="0"/>
          <w:color w:val="000000" w:themeColor="text1"/>
          <w:sz w:val="28"/>
          <w:szCs w:val="30"/>
          <w:shd w:val="clear" w:color="auto" w:fill="auto"/>
          <w:lang w:val="en-US" w:eastAsia="zh-CN"/>
          <w14:textFill>
            <w14:solidFill>
              <w14:schemeClr w14:val="tx1"/>
            </w14:solidFill>
          </w14:textFill>
        </w:rPr>
        <w:t>7</w:t>
      </w:r>
      <w:r>
        <w:rPr>
          <w:rFonts w:hint="eastAsia" w:ascii="宋体" w:hAnsi="宋体" w:eastAsia="宋体" w:cs="宋体"/>
          <w:snapToGrid w:val="0"/>
          <w:color w:val="000000" w:themeColor="text1"/>
          <w:sz w:val="28"/>
          <w:szCs w:val="30"/>
          <w:shd w:val="clear" w:color="auto" w:fill="auto"/>
          <w14:textFill>
            <w14:solidFill>
              <w14:schemeClr w14:val="tx1"/>
            </w14:solidFill>
          </w14:textFill>
        </w:rPr>
        <w:t>、《建筑抗震设计规范》（</w:t>
      </w:r>
      <w:r>
        <w:rPr>
          <w:rFonts w:hint="eastAsia" w:ascii="宋体" w:hAnsi="宋体" w:eastAsia="宋体" w:cs="宋体"/>
          <w:snapToGrid w:val="0"/>
          <w:color w:val="000000" w:themeColor="text1"/>
          <w:sz w:val="28"/>
          <w:szCs w:val="30"/>
          <w:shd w:val="clear" w:color="auto" w:fill="auto"/>
          <w:lang w:eastAsia="zh-CN"/>
          <w14:textFill>
            <w14:solidFill>
              <w14:schemeClr w14:val="tx1"/>
            </w14:solidFill>
          </w14:textFill>
        </w:rPr>
        <w:t>GB50011-2010[20</w:t>
      </w:r>
      <w:r>
        <w:rPr>
          <w:rFonts w:hint="eastAsia" w:hAnsi="宋体" w:cs="宋体"/>
          <w:snapToGrid w:val="0"/>
          <w:color w:val="000000" w:themeColor="text1"/>
          <w:sz w:val="28"/>
          <w:szCs w:val="30"/>
          <w:shd w:val="clear" w:color="auto" w:fill="auto"/>
          <w:lang w:val="en-US" w:eastAsia="zh-CN"/>
          <w14:textFill>
            <w14:solidFill>
              <w14:schemeClr w14:val="tx1"/>
            </w14:solidFill>
          </w14:textFill>
        </w:rPr>
        <w:t>24</w:t>
      </w:r>
      <w:r>
        <w:rPr>
          <w:rFonts w:hint="eastAsia" w:ascii="宋体" w:hAnsi="宋体" w:eastAsia="宋体" w:cs="宋体"/>
          <w:snapToGrid w:val="0"/>
          <w:color w:val="000000" w:themeColor="text1"/>
          <w:sz w:val="28"/>
          <w:szCs w:val="30"/>
          <w:shd w:val="clear" w:color="auto" w:fill="auto"/>
          <w:lang w:eastAsia="zh-CN"/>
          <w14:textFill>
            <w14:solidFill>
              <w14:schemeClr w14:val="tx1"/>
            </w14:solidFill>
          </w14:textFill>
        </w:rPr>
        <w:t>年版]</w:t>
      </w:r>
      <w:r>
        <w:rPr>
          <w:rFonts w:hint="eastAsia" w:ascii="宋体" w:hAnsi="宋体" w:eastAsia="宋体" w:cs="宋体"/>
          <w:snapToGrid w:val="0"/>
          <w:color w:val="000000" w:themeColor="text1"/>
          <w:sz w:val="28"/>
          <w:szCs w:val="30"/>
          <w:shd w:val="clear" w:color="auto" w:fill="auto"/>
          <w14:textFill>
            <w14:solidFill>
              <w14:schemeClr w14:val="tx1"/>
            </w14:solidFill>
          </w14:textFill>
        </w:rPr>
        <w:t>）；</w:t>
      </w:r>
    </w:p>
    <w:p w14:paraId="7FC37FF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w:t>
      </w:r>
      <w:r>
        <w:rPr>
          <w:rFonts w:hint="eastAsia" w:hAnsi="宋体" w:cs="宋体"/>
          <w:snapToGrid w:val="0"/>
          <w:color w:val="auto"/>
          <w:sz w:val="28"/>
          <w:szCs w:val="30"/>
          <w:lang w:val="en-US" w:eastAsia="zh-CN"/>
        </w:rPr>
        <w:t>8</w:t>
      </w:r>
      <w:r>
        <w:rPr>
          <w:rFonts w:hint="eastAsia" w:ascii="宋体" w:hAnsi="宋体" w:eastAsia="宋体" w:cs="宋体"/>
          <w:snapToGrid w:val="0"/>
          <w:color w:val="auto"/>
          <w:sz w:val="28"/>
          <w:szCs w:val="30"/>
        </w:rPr>
        <w:t>、《密闭空间作业职业危害防护规范》（GBZ/T205-2007）；</w:t>
      </w:r>
    </w:p>
    <w:p w14:paraId="0771285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hAnsi="宋体" w:cs="宋体"/>
          <w:snapToGrid w:val="0"/>
          <w:color w:val="auto"/>
          <w:sz w:val="28"/>
          <w:szCs w:val="30"/>
          <w:lang w:val="en-US" w:eastAsia="zh-CN"/>
        </w:rPr>
        <w:t>19</w:t>
      </w:r>
      <w:r>
        <w:rPr>
          <w:rFonts w:hint="eastAsia" w:ascii="宋体" w:hAnsi="宋体" w:eastAsia="宋体" w:cs="宋体"/>
          <w:snapToGrid w:val="0"/>
          <w:color w:val="auto"/>
          <w:sz w:val="28"/>
          <w:szCs w:val="30"/>
        </w:rPr>
        <w:t>、《构筑物抗震设计规范》（GB50191-2012）；</w:t>
      </w:r>
    </w:p>
    <w:p w14:paraId="504D8A59">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w:t>
      </w:r>
      <w:r>
        <w:rPr>
          <w:rFonts w:hint="eastAsia" w:hAnsi="宋体" w:cs="宋体"/>
          <w:snapToGrid w:val="0"/>
          <w:color w:val="auto"/>
          <w:sz w:val="28"/>
          <w:szCs w:val="30"/>
          <w:lang w:val="en-US" w:eastAsia="zh-CN"/>
        </w:rPr>
        <w:t>0</w:t>
      </w:r>
      <w:r>
        <w:rPr>
          <w:rFonts w:hint="eastAsia" w:ascii="宋体" w:hAnsi="宋体" w:eastAsia="宋体" w:cs="宋体"/>
          <w:snapToGrid w:val="0"/>
          <w:color w:val="auto"/>
          <w:sz w:val="28"/>
          <w:szCs w:val="30"/>
        </w:rPr>
        <w:t>、《国家电气设备安全技术规范》（GB19517-2009）；</w:t>
      </w:r>
    </w:p>
    <w:p w14:paraId="70E60862">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w:t>
      </w:r>
      <w:r>
        <w:rPr>
          <w:rFonts w:hint="eastAsia" w:hAnsi="宋体" w:cs="宋体"/>
          <w:snapToGrid w:val="0"/>
          <w:color w:val="auto"/>
          <w:sz w:val="28"/>
          <w:szCs w:val="30"/>
          <w:lang w:val="en-US" w:eastAsia="zh-CN"/>
        </w:rPr>
        <w:t>1</w:t>
      </w:r>
      <w:r>
        <w:rPr>
          <w:rFonts w:hint="eastAsia" w:ascii="宋体" w:hAnsi="宋体" w:eastAsia="宋体" w:cs="宋体"/>
          <w:snapToGrid w:val="0"/>
          <w:color w:val="auto"/>
          <w:sz w:val="28"/>
          <w:szCs w:val="30"/>
        </w:rPr>
        <w:t>、《工作场所有害因素职业接触限值第2部分</w:t>
      </w:r>
      <w:r>
        <w:rPr>
          <w:rFonts w:hint="eastAsia" w:hAnsi="宋体" w:cs="宋体"/>
          <w:snapToGrid w:val="0"/>
          <w:color w:val="auto"/>
          <w:sz w:val="28"/>
          <w:szCs w:val="30"/>
          <w:lang w:eastAsia="zh-CN"/>
        </w:rPr>
        <w:t>：</w:t>
      </w:r>
      <w:r>
        <w:rPr>
          <w:rFonts w:hint="eastAsia" w:ascii="宋体" w:hAnsi="宋体" w:eastAsia="宋体" w:cs="宋体"/>
          <w:snapToGrid w:val="0"/>
          <w:color w:val="auto"/>
          <w:sz w:val="28"/>
          <w:szCs w:val="30"/>
        </w:rPr>
        <w:t>物理因素》(GBZ2.2-2007)；</w:t>
      </w:r>
    </w:p>
    <w:p w14:paraId="4D3CA24D">
      <w:pPr>
        <w:keepNext w:val="0"/>
        <w:keepLines w:val="0"/>
        <w:pageBreakBefore w:val="0"/>
        <w:widowControl w:val="0"/>
        <w:kinsoku w:val="0"/>
        <w:wordWrap/>
        <w:overflowPunct w:val="0"/>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w:t>
      </w:r>
      <w:r>
        <w:rPr>
          <w:rFonts w:hint="eastAsia" w:hAnsi="宋体" w:cs="宋体"/>
          <w:snapToGrid w:val="0"/>
          <w:color w:val="auto"/>
          <w:sz w:val="28"/>
          <w:szCs w:val="30"/>
          <w:lang w:val="en-US" w:eastAsia="zh-CN"/>
        </w:rPr>
        <w:t>2</w:t>
      </w:r>
      <w:r>
        <w:rPr>
          <w:rFonts w:hint="eastAsia" w:ascii="宋体" w:hAnsi="宋体" w:eastAsia="宋体" w:cs="宋体"/>
          <w:snapToGrid w:val="0"/>
          <w:color w:val="auto"/>
          <w:sz w:val="28"/>
          <w:szCs w:val="30"/>
        </w:rPr>
        <w:t>、《工作场所职业病危害作业分级第1部分</w:t>
      </w:r>
      <w:r>
        <w:rPr>
          <w:rFonts w:hint="eastAsia" w:ascii="宋体" w:hAnsi="宋体" w:eastAsia="宋体" w:cs="宋体"/>
          <w:snapToGrid w:val="0"/>
          <w:color w:val="auto"/>
          <w:sz w:val="28"/>
          <w:szCs w:val="30"/>
          <w:lang w:eastAsia="zh-CN"/>
        </w:rPr>
        <w:t>：</w:t>
      </w:r>
      <w:r>
        <w:rPr>
          <w:rFonts w:hint="eastAsia" w:ascii="宋体" w:hAnsi="宋体" w:eastAsia="宋体" w:cs="宋体"/>
          <w:snapToGrid w:val="0"/>
          <w:color w:val="auto"/>
          <w:sz w:val="28"/>
          <w:szCs w:val="30"/>
        </w:rPr>
        <w:t>生产性粉尘》（GBZ/T229.-2010）；</w:t>
      </w:r>
    </w:p>
    <w:p w14:paraId="1D8C56A3">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w:t>
      </w:r>
      <w:r>
        <w:rPr>
          <w:rFonts w:hint="eastAsia" w:hAnsi="宋体" w:cs="宋体"/>
          <w:snapToGrid w:val="0"/>
          <w:color w:val="auto"/>
          <w:sz w:val="28"/>
          <w:szCs w:val="30"/>
          <w:lang w:val="en-US" w:eastAsia="zh-CN"/>
        </w:rPr>
        <w:t>3</w:t>
      </w:r>
      <w:r>
        <w:rPr>
          <w:rFonts w:hint="eastAsia" w:ascii="宋体" w:hAnsi="宋体" w:eastAsia="宋体" w:cs="宋体"/>
          <w:snapToGrid w:val="0"/>
          <w:color w:val="auto"/>
          <w:sz w:val="28"/>
          <w:szCs w:val="30"/>
        </w:rPr>
        <w:t>、《工作场所职业病危害作业分级第4部分</w:t>
      </w:r>
      <w:r>
        <w:rPr>
          <w:rFonts w:hint="eastAsia" w:ascii="宋体" w:hAnsi="宋体" w:eastAsia="宋体" w:cs="宋体"/>
          <w:snapToGrid w:val="0"/>
          <w:color w:val="auto"/>
          <w:sz w:val="28"/>
          <w:szCs w:val="30"/>
          <w:lang w:eastAsia="zh-CN"/>
        </w:rPr>
        <w:t>：</w:t>
      </w:r>
      <w:r>
        <w:rPr>
          <w:rFonts w:hint="eastAsia" w:ascii="宋体" w:hAnsi="宋体" w:eastAsia="宋体" w:cs="宋体"/>
          <w:snapToGrid w:val="0"/>
          <w:color w:val="auto"/>
          <w:sz w:val="28"/>
          <w:szCs w:val="30"/>
        </w:rPr>
        <w:t>噪音》（GBZ/T229.1-2012）；</w:t>
      </w:r>
    </w:p>
    <w:p w14:paraId="6C509BF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w:t>
      </w:r>
      <w:r>
        <w:rPr>
          <w:rFonts w:hint="eastAsia" w:hAnsi="宋体" w:cs="宋体"/>
          <w:snapToGrid w:val="0"/>
          <w:color w:val="auto"/>
          <w:sz w:val="28"/>
          <w:szCs w:val="30"/>
          <w:lang w:val="en-US" w:eastAsia="zh-CN"/>
        </w:rPr>
        <w:t>4</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室外排水设计标准</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GB50014-2021</w:t>
      </w:r>
      <w:r>
        <w:rPr>
          <w:rFonts w:hint="eastAsia" w:ascii="宋体" w:hAnsi="宋体" w:eastAsia="宋体" w:cs="宋体"/>
          <w:snapToGrid w:val="0"/>
          <w:color w:val="auto"/>
          <w:sz w:val="28"/>
          <w:szCs w:val="30"/>
        </w:rPr>
        <w:t>）；</w:t>
      </w:r>
    </w:p>
    <w:p w14:paraId="504164F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w:t>
      </w:r>
      <w:r>
        <w:rPr>
          <w:rFonts w:hint="eastAsia" w:hAnsi="宋体" w:cs="宋体"/>
          <w:snapToGrid w:val="0"/>
          <w:color w:val="auto"/>
          <w:sz w:val="28"/>
          <w:szCs w:val="30"/>
          <w:lang w:val="en-US" w:eastAsia="zh-CN"/>
        </w:rPr>
        <w:t>5</w:t>
      </w:r>
      <w:r>
        <w:rPr>
          <w:rFonts w:hint="eastAsia" w:ascii="宋体" w:hAnsi="宋体" w:eastAsia="宋体" w:cs="宋体"/>
          <w:snapToGrid w:val="0"/>
          <w:color w:val="auto"/>
          <w:sz w:val="28"/>
          <w:szCs w:val="30"/>
        </w:rPr>
        <w:t>、《危险化学品重大危险源辨识》（GB18218-20</w:t>
      </w:r>
      <w:r>
        <w:rPr>
          <w:rFonts w:hint="eastAsia" w:ascii="宋体" w:hAnsi="宋体" w:eastAsia="宋体" w:cs="宋体"/>
          <w:snapToGrid w:val="0"/>
          <w:color w:val="auto"/>
          <w:sz w:val="28"/>
          <w:szCs w:val="30"/>
          <w:lang w:val="en-US" w:eastAsia="zh-CN"/>
        </w:rPr>
        <w:t>18</w:t>
      </w:r>
      <w:r>
        <w:rPr>
          <w:rFonts w:hint="eastAsia" w:ascii="宋体" w:hAnsi="宋体" w:eastAsia="宋体" w:cs="宋体"/>
          <w:snapToGrid w:val="0"/>
          <w:color w:val="auto"/>
          <w:sz w:val="28"/>
          <w:szCs w:val="30"/>
        </w:rPr>
        <w:t>）；</w:t>
      </w:r>
    </w:p>
    <w:p w14:paraId="6D8D1DE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w:t>
      </w:r>
      <w:r>
        <w:rPr>
          <w:rFonts w:hint="eastAsia" w:hAnsi="宋体" w:cs="宋体"/>
          <w:snapToGrid w:val="0"/>
          <w:color w:val="auto"/>
          <w:sz w:val="28"/>
          <w:szCs w:val="30"/>
          <w:lang w:val="en-US" w:eastAsia="zh-CN"/>
        </w:rPr>
        <w:t>6</w:t>
      </w:r>
      <w:r>
        <w:rPr>
          <w:rFonts w:hint="eastAsia" w:ascii="宋体" w:hAnsi="宋体" w:eastAsia="宋体" w:cs="宋体"/>
          <w:snapToGrid w:val="0"/>
          <w:color w:val="auto"/>
          <w:sz w:val="28"/>
          <w:szCs w:val="30"/>
        </w:rPr>
        <w:t>、《安全色》（GB2893-2008）；</w:t>
      </w:r>
    </w:p>
    <w:p w14:paraId="48D0F233">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w:t>
      </w:r>
      <w:r>
        <w:rPr>
          <w:rFonts w:hint="eastAsia" w:hAnsi="宋体" w:cs="宋体"/>
          <w:snapToGrid w:val="0"/>
          <w:color w:val="auto"/>
          <w:sz w:val="28"/>
          <w:szCs w:val="30"/>
          <w:lang w:val="en-US" w:eastAsia="zh-CN"/>
        </w:rPr>
        <w:t>7</w:t>
      </w:r>
      <w:r>
        <w:rPr>
          <w:rFonts w:hint="eastAsia" w:ascii="宋体" w:hAnsi="宋体" w:eastAsia="宋体" w:cs="宋体"/>
          <w:snapToGrid w:val="0"/>
          <w:color w:val="auto"/>
          <w:sz w:val="28"/>
          <w:szCs w:val="30"/>
        </w:rPr>
        <w:t>、《安全标志及其使用导则》（GB2894-2008）；</w:t>
      </w:r>
    </w:p>
    <w:p w14:paraId="32533BA0">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w:t>
      </w:r>
      <w:r>
        <w:rPr>
          <w:rFonts w:hint="eastAsia" w:hAnsi="宋体" w:cs="宋体"/>
          <w:snapToGrid w:val="0"/>
          <w:color w:val="auto"/>
          <w:sz w:val="28"/>
          <w:szCs w:val="30"/>
          <w:lang w:val="en-US" w:eastAsia="zh-CN"/>
        </w:rPr>
        <w:t>8</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消防安全标志第1部分：标志</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GB13495.1-2015</w:t>
      </w:r>
      <w:r>
        <w:rPr>
          <w:rFonts w:hint="eastAsia" w:ascii="宋体" w:hAnsi="宋体" w:eastAsia="宋体" w:cs="宋体"/>
          <w:snapToGrid w:val="0"/>
          <w:color w:val="auto"/>
          <w:sz w:val="28"/>
          <w:szCs w:val="30"/>
        </w:rPr>
        <w:t>）；</w:t>
      </w:r>
    </w:p>
    <w:p w14:paraId="5BF8D70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hAnsi="宋体" w:cs="宋体"/>
          <w:snapToGrid w:val="0"/>
          <w:color w:val="auto"/>
          <w:sz w:val="28"/>
          <w:szCs w:val="30"/>
          <w:lang w:val="en-US" w:eastAsia="zh-CN"/>
        </w:rPr>
        <w:t>29</w:t>
      </w:r>
      <w:r>
        <w:rPr>
          <w:rFonts w:hint="eastAsia" w:ascii="宋体" w:hAnsi="宋体" w:eastAsia="宋体" w:cs="宋体"/>
          <w:snapToGrid w:val="0"/>
          <w:color w:val="auto"/>
          <w:sz w:val="28"/>
          <w:szCs w:val="30"/>
        </w:rPr>
        <w:t>、《消防安全标志设置要求》（GB15630-1995）；</w:t>
      </w:r>
    </w:p>
    <w:p w14:paraId="43EF5367">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hAnsi="宋体" w:cs="宋体"/>
          <w:snapToGrid w:val="0"/>
          <w:color w:val="auto"/>
          <w:sz w:val="28"/>
          <w:szCs w:val="30"/>
          <w:lang w:val="en-US" w:eastAsia="zh-CN"/>
        </w:rPr>
        <w:t>0</w:t>
      </w:r>
      <w:r>
        <w:rPr>
          <w:rFonts w:hint="eastAsia" w:ascii="宋体" w:hAnsi="宋体" w:eastAsia="宋体" w:cs="宋体"/>
          <w:snapToGrid w:val="0"/>
          <w:color w:val="auto"/>
          <w:sz w:val="28"/>
          <w:szCs w:val="30"/>
        </w:rPr>
        <w:t>、《用电安全导则》（</w:t>
      </w:r>
      <w:r>
        <w:rPr>
          <w:rFonts w:hint="eastAsia" w:ascii="宋体" w:hAnsi="宋体" w:eastAsia="宋体" w:cs="宋体"/>
          <w:snapToGrid w:val="0"/>
          <w:color w:val="auto"/>
          <w:sz w:val="28"/>
          <w:szCs w:val="30"/>
          <w:lang w:eastAsia="zh-CN"/>
        </w:rPr>
        <w:t>GB/T13869-2017</w:t>
      </w:r>
      <w:r>
        <w:rPr>
          <w:rFonts w:hint="eastAsia" w:ascii="宋体" w:hAnsi="宋体" w:eastAsia="宋体" w:cs="宋体"/>
          <w:snapToGrid w:val="0"/>
          <w:color w:val="auto"/>
          <w:sz w:val="28"/>
          <w:szCs w:val="30"/>
        </w:rPr>
        <w:t>）；</w:t>
      </w:r>
    </w:p>
    <w:p w14:paraId="2CFA8B0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hAnsi="宋体" w:cs="宋体"/>
          <w:snapToGrid w:val="0"/>
          <w:color w:val="auto"/>
          <w:sz w:val="28"/>
          <w:szCs w:val="30"/>
          <w:lang w:val="en-US" w:eastAsia="zh-CN"/>
        </w:rPr>
        <w:t>1</w:t>
      </w:r>
      <w:r>
        <w:rPr>
          <w:rFonts w:hint="eastAsia" w:ascii="宋体" w:hAnsi="宋体" w:eastAsia="宋体" w:cs="宋体"/>
          <w:snapToGrid w:val="0"/>
          <w:color w:val="auto"/>
          <w:sz w:val="28"/>
          <w:szCs w:val="30"/>
        </w:rPr>
        <w:t>、《通用用电设备配电设计规范》</w:t>
      </w:r>
      <w:r>
        <w:rPr>
          <w:rFonts w:hint="eastAsia" w:ascii="宋体" w:hAnsi="宋体" w:eastAsia="宋体" w:cs="宋体"/>
          <w:snapToGrid w:val="0"/>
          <w:color w:val="auto"/>
          <w:sz w:val="28"/>
          <w:szCs w:val="30"/>
          <w:lang w:eastAsia="zh-CN"/>
        </w:rPr>
        <w:t>(</w:t>
      </w:r>
      <w:r>
        <w:rPr>
          <w:rFonts w:hint="eastAsia" w:ascii="宋体" w:hAnsi="宋体" w:eastAsia="宋体" w:cs="宋体"/>
          <w:snapToGrid w:val="0"/>
          <w:color w:val="auto"/>
          <w:sz w:val="28"/>
          <w:szCs w:val="30"/>
        </w:rPr>
        <w:t>GB50055-2011)；</w:t>
      </w:r>
    </w:p>
    <w:p w14:paraId="01A57DC0">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hAnsi="宋体" w:cs="宋体"/>
          <w:snapToGrid w:val="0"/>
          <w:color w:val="auto"/>
          <w:sz w:val="28"/>
          <w:szCs w:val="30"/>
          <w:lang w:val="en-US" w:eastAsia="zh-CN"/>
        </w:rPr>
        <w:t>2</w:t>
      </w:r>
      <w:r>
        <w:rPr>
          <w:rFonts w:hint="eastAsia" w:ascii="宋体" w:hAnsi="宋体" w:eastAsia="宋体" w:cs="宋体"/>
          <w:snapToGrid w:val="0"/>
          <w:color w:val="auto"/>
          <w:sz w:val="28"/>
          <w:szCs w:val="30"/>
        </w:rPr>
        <w:t>、《供配电系统设计规范》（GB50052-2009）；</w:t>
      </w:r>
    </w:p>
    <w:p w14:paraId="33289E3A">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hAnsi="宋体" w:cs="宋体"/>
          <w:snapToGrid w:val="0"/>
          <w:color w:val="auto"/>
          <w:sz w:val="28"/>
          <w:szCs w:val="30"/>
          <w:lang w:val="en-US" w:eastAsia="zh-CN"/>
        </w:rPr>
        <w:t>3</w:t>
      </w:r>
      <w:r>
        <w:rPr>
          <w:rFonts w:hint="eastAsia" w:ascii="宋体" w:hAnsi="宋体" w:eastAsia="宋体" w:cs="宋体"/>
          <w:snapToGrid w:val="0"/>
          <w:color w:val="auto"/>
          <w:sz w:val="28"/>
          <w:szCs w:val="30"/>
        </w:rPr>
        <w:t>、《低压配电设计规范》（GB50054-2011）；</w:t>
      </w:r>
    </w:p>
    <w:p w14:paraId="134697EB">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hAnsi="宋体" w:cs="宋体"/>
          <w:snapToGrid w:val="0"/>
          <w:color w:val="auto"/>
          <w:sz w:val="28"/>
          <w:szCs w:val="30"/>
          <w:lang w:val="en-US" w:eastAsia="zh-CN"/>
        </w:rPr>
        <w:t>4</w:t>
      </w:r>
      <w:r>
        <w:rPr>
          <w:rFonts w:hint="eastAsia" w:ascii="宋体" w:hAnsi="宋体" w:eastAsia="宋体" w:cs="宋体"/>
          <w:snapToGrid w:val="0"/>
          <w:color w:val="auto"/>
          <w:sz w:val="28"/>
          <w:szCs w:val="30"/>
        </w:rPr>
        <w:t>、《防止静电事故通用导则》（GB12158-2006）；</w:t>
      </w:r>
    </w:p>
    <w:p w14:paraId="6A580B14">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hAnsi="宋体" w:cs="宋体"/>
          <w:snapToGrid w:val="0"/>
          <w:color w:val="auto"/>
          <w:sz w:val="28"/>
          <w:szCs w:val="30"/>
          <w:lang w:val="en-US" w:eastAsia="zh-CN"/>
        </w:rPr>
        <w:t>5</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危险化学品仓库储存通则</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 15603-2022</w:t>
      </w:r>
      <w:r>
        <w:rPr>
          <w:rFonts w:hint="eastAsia" w:ascii="宋体" w:hAnsi="宋体" w:eastAsia="宋体" w:cs="宋体"/>
          <w:snapToGrid w:val="0"/>
          <w:color w:val="auto"/>
          <w:sz w:val="28"/>
          <w:szCs w:val="30"/>
        </w:rPr>
        <w:t>）；</w:t>
      </w:r>
    </w:p>
    <w:p w14:paraId="29AD0790">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w:t>
      </w:r>
      <w:r>
        <w:rPr>
          <w:rFonts w:hint="eastAsia" w:hAnsi="宋体" w:cs="宋体"/>
          <w:snapToGrid w:val="0"/>
          <w:color w:val="auto"/>
          <w:sz w:val="28"/>
          <w:szCs w:val="30"/>
          <w:lang w:val="en-US" w:eastAsia="zh-CN"/>
        </w:rPr>
        <w:t>6</w:t>
      </w:r>
      <w:r>
        <w:rPr>
          <w:rFonts w:hint="eastAsia" w:ascii="宋体" w:hAnsi="宋体" w:eastAsia="宋体" w:cs="宋体"/>
          <w:snapToGrid w:val="0"/>
          <w:color w:val="auto"/>
          <w:sz w:val="28"/>
          <w:szCs w:val="30"/>
        </w:rPr>
        <w:t>、《易燃易爆性商品储存养护技术条件》（GB17914-2013）；</w:t>
      </w:r>
    </w:p>
    <w:p w14:paraId="4351849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lang w:val="en-US" w:eastAsia="zh-CN"/>
        </w:rPr>
        <w:t>3</w:t>
      </w:r>
      <w:r>
        <w:rPr>
          <w:rFonts w:hint="eastAsia" w:hAnsi="宋体" w:cs="宋体"/>
          <w:snapToGrid w:val="0"/>
          <w:color w:val="auto"/>
          <w:sz w:val="28"/>
          <w:szCs w:val="30"/>
          <w:lang w:val="en-US" w:eastAsia="zh-CN"/>
        </w:rPr>
        <w:t>7</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机械安全防护装置固定式和活动式防护装置的设计与制造一般要求</w:t>
      </w:r>
      <w:r>
        <w:rPr>
          <w:rFonts w:hint="eastAsia" w:ascii="宋体" w:hAnsi="宋体" w:eastAsia="宋体" w:cs="宋体"/>
          <w:snapToGrid w:val="0"/>
          <w:color w:val="auto"/>
          <w:sz w:val="28"/>
          <w:szCs w:val="30"/>
        </w:rPr>
        <w:t>》（</w:t>
      </w:r>
      <w:r>
        <w:rPr>
          <w:rFonts w:hint="eastAsia" w:ascii="宋体" w:hAnsi="宋体" w:eastAsia="宋体" w:cs="宋体"/>
          <w:snapToGrid w:val="0"/>
          <w:color w:val="auto"/>
          <w:sz w:val="28"/>
          <w:szCs w:val="30"/>
          <w:lang w:eastAsia="zh-CN"/>
        </w:rPr>
        <w:t>GB/T8196-2018</w:t>
      </w:r>
      <w:r>
        <w:rPr>
          <w:rFonts w:hint="eastAsia" w:ascii="宋体" w:hAnsi="宋体" w:eastAsia="宋体" w:cs="宋体"/>
          <w:snapToGrid w:val="0"/>
          <w:color w:val="auto"/>
          <w:sz w:val="28"/>
          <w:szCs w:val="30"/>
        </w:rPr>
        <w:t>）；</w:t>
      </w:r>
    </w:p>
    <w:p w14:paraId="112A20A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hAnsi="宋体" w:cs="宋体"/>
          <w:snapToGrid w:val="0"/>
          <w:color w:val="auto"/>
          <w:sz w:val="28"/>
          <w:szCs w:val="30"/>
          <w:lang w:val="en-US" w:eastAsia="zh-CN"/>
        </w:rPr>
        <w:t>38</w:t>
      </w:r>
      <w:r>
        <w:rPr>
          <w:rFonts w:hint="eastAsia" w:ascii="宋体" w:hAnsi="宋体" w:eastAsia="宋体" w:cs="宋体"/>
          <w:snapToGrid w:val="0"/>
          <w:color w:val="auto"/>
          <w:sz w:val="28"/>
          <w:szCs w:val="30"/>
        </w:rPr>
        <w:t>、《固定式钢梯及平台安全要求第1部分：钢直梯》（GB4053.1-2009）；</w:t>
      </w:r>
    </w:p>
    <w:p w14:paraId="0C5C192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hAnsi="宋体" w:cs="宋体"/>
          <w:snapToGrid w:val="0"/>
          <w:color w:val="auto"/>
          <w:sz w:val="28"/>
          <w:szCs w:val="30"/>
          <w:lang w:val="en-US" w:eastAsia="zh-CN"/>
        </w:rPr>
        <w:t>39</w:t>
      </w:r>
      <w:r>
        <w:rPr>
          <w:rFonts w:hint="eastAsia" w:ascii="宋体" w:hAnsi="宋体" w:eastAsia="宋体" w:cs="宋体"/>
          <w:snapToGrid w:val="0"/>
          <w:color w:val="auto"/>
          <w:sz w:val="28"/>
          <w:szCs w:val="30"/>
        </w:rPr>
        <w:t>、《固定式钢梯及平台安全要求第2部分：钢斜梯》（GB4053.2-2009）；</w:t>
      </w:r>
    </w:p>
    <w:p w14:paraId="51790BB7">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w:t>
      </w:r>
      <w:r>
        <w:rPr>
          <w:rFonts w:hint="eastAsia" w:hAnsi="宋体" w:cs="宋体"/>
          <w:snapToGrid w:val="0"/>
          <w:color w:val="auto"/>
          <w:sz w:val="28"/>
          <w:szCs w:val="30"/>
          <w:lang w:val="en-US" w:eastAsia="zh-CN"/>
        </w:rPr>
        <w:t>0</w:t>
      </w:r>
      <w:r>
        <w:rPr>
          <w:rFonts w:hint="eastAsia" w:ascii="宋体" w:hAnsi="宋体" w:eastAsia="宋体" w:cs="宋体"/>
          <w:snapToGrid w:val="0"/>
          <w:color w:val="auto"/>
          <w:sz w:val="28"/>
          <w:szCs w:val="30"/>
        </w:rPr>
        <w:t>、《固定式钢梯及平台安全要求第3部分：工业防护栏杆及钢平台》（GB4053.3-2009）；</w:t>
      </w:r>
    </w:p>
    <w:p w14:paraId="275A0190">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4</w:t>
      </w:r>
      <w:r>
        <w:rPr>
          <w:rFonts w:hint="eastAsia" w:hAnsi="宋体" w:cs="宋体"/>
          <w:snapToGrid w:val="0"/>
          <w:color w:val="auto"/>
          <w:sz w:val="28"/>
          <w:szCs w:val="30"/>
          <w:lang w:val="en-US" w:eastAsia="zh-CN"/>
        </w:rPr>
        <w:t>1</w:t>
      </w:r>
      <w:r>
        <w:rPr>
          <w:rFonts w:hint="eastAsia" w:ascii="宋体" w:hAnsi="宋体" w:eastAsia="宋体" w:cs="宋体"/>
          <w:snapToGrid w:val="0"/>
          <w:color w:val="auto"/>
          <w:sz w:val="28"/>
          <w:szCs w:val="30"/>
        </w:rPr>
        <w:t>、《起重机械安全规程第1部分：总则》（</w:t>
      </w:r>
      <w:r>
        <w:rPr>
          <w:rFonts w:hint="eastAsia" w:ascii="宋体" w:hAnsi="宋体" w:eastAsia="宋体" w:cs="宋体"/>
          <w:snapToGrid w:val="0"/>
          <w:color w:val="auto"/>
          <w:sz w:val="28"/>
          <w:szCs w:val="30"/>
          <w:lang w:eastAsia="zh-CN"/>
        </w:rPr>
        <w:t>GB/T6067.1-2010</w:t>
      </w:r>
      <w:r>
        <w:rPr>
          <w:rFonts w:hint="eastAsia" w:ascii="宋体" w:hAnsi="宋体" w:eastAsia="宋体" w:cs="宋体"/>
          <w:snapToGrid w:val="0"/>
          <w:color w:val="auto"/>
          <w:sz w:val="28"/>
          <w:szCs w:val="30"/>
        </w:rPr>
        <w:t>）；</w:t>
      </w:r>
    </w:p>
    <w:p w14:paraId="72E2B64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hAnsi="宋体" w:cs="宋体"/>
          <w:snapToGrid w:val="0"/>
          <w:color w:val="auto"/>
          <w:sz w:val="28"/>
          <w:szCs w:val="30"/>
          <w:lang w:eastAsia="zh-CN"/>
        </w:rPr>
      </w:pPr>
      <w:r>
        <w:rPr>
          <w:rFonts w:hint="eastAsia" w:ascii="宋体" w:hAnsi="宋体" w:eastAsia="宋体" w:cs="宋体"/>
          <w:snapToGrid w:val="0"/>
          <w:color w:val="auto"/>
          <w:sz w:val="28"/>
          <w:szCs w:val="30"/>
          <w:lang w:val="en-US" w:eastAsia="zh-CN"/>
        </w:rPr>
        <w:t>4</w:t>
      </w:r>
      <w:r>
        <w:rPr>
          <w:rFonts w:hint="eastAsia" w:hAnsi="宋体" w:cs="宋体"/>
          <w:snapToGrid w:val="0"/>
          <w:color w:val="auto"/>
          <w:sz w:val="28"/>
          <w:szCs w:val="30"/>
          <w:lang w:val="en-US" w:eastAsia="zh-CN"/>
        </w:rPr>
        <w:t>2</w:t>
      </w:r>
      <w:r>
        <w:rPr>
          <w:rFonts w:hint="eastAsia" w:ascii="宋体" w:hAnsi="宋体" w:eastAsia="宋体" w:cs="宋体"/>
          <w:snapToGrid w:val="0"/>
          <w:color w:val="auto"/>
          <w:sz w:val="28"/>
          <w:szCs w:val="30"/>
          <w:lang w:val="en-US" w:eastAsia="zh-CN"/>
        </w:rPr>
        <w:t>、</w:t>
      </w:r>
      <w:r>
        <w:rPr>
          <w:rFonts w:hint="eastAsia" w:ascii="宋体" w:hAnsi="宋体" w:eastAsia="宋体" w:cs="宋体"/>
          <w:snapToGrid w:val="0"/>
          <w:color w:val="auto"/>
          <w:sz w:val="28"/>
          <w:szCs w:val="30"/>
        </w:rPr>
        <w:t>《生产经营单位生产安全事故应急预案编制导则》（</w:t>
      </w:r>
      <w:r>
        <w:rPr>
          <w:rFonts w:hint="eastAsia" w:ascii="宋体" w:hAnsi="宋体" w:eastAsia="宋体" w:cs="宋体"/>
          <w:snapToGrid w:val="0"/>
          <w:color w:val="auto"/>
          <w:sz w:val="28"/>
          <w:szCs w:val="30"/>
          <w:lang w:eastAsia="zh-CN"/>
        </w:rPr>
        <w:t>GB/T29639-2020</w:t>
      </w:r>
      <w:r>
        <w:rPr>
          <w:rFonts w:hint="eastAsia" w:ascii="宋体" w:hAnsi="宋体" w:eastAsia="宋体" w:cs="宋体"/>
          <w:snapToGrid w:val="0"/>
          <w:color w:val="auto"/>
          <w:sz w:val="28"/>
          <w:szCs w:val="30"/>
        </w:rPr>
        <w:t>）</w:t>
      </w:r>
      <w:r>
        <w:rPr>
          <w:rFonts w:hint="eastAsia" w:hAnsi="宋体" w:cs="宋体"/>
          <w:snapToGrid w:val="0"/>
          <w:color w:val="auto"/>
          <w:sz w:val="28"/>
          <w:szCs w:val="30"/>
          <w:lang w:eastAsia="zh-CN"/>
        </w:rPr>
        <w:t>；</w:t>
      </w:r>
    </w:p>
    <w:p w14:paraId="244771AE">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default" w:ascii="宋体" w:hAnsi="宋体" w:eastAsia="宋体" w:cs="宋体"/>
          <w:snapToGrid w:val="0"/>
          <w:color w:val="auto"/>
          <w:sz w:val="28"/>
          <w:szCs w:val="30"/>
          <w:lang w:val="en-US" w:eastAsia="zh-CN"/>
        </w:rPr>
      </w:pPr>
      <w:r>
        <w:rPr>
          <w:rFonts w:hint="eastAsia" w:ascii="宋体" w:hAnsi="宋体" w:eastAsia="宋体" w:cs="宋体"/>
          <w:snapToGrid w:val="0"/>
          <w:color w:val="auto"/>
          <w:sz w:val="28"/>
          <w:szCs w:val="30"/>
          <w:lang w:val="en-US" w:eastAsia="zh-CN"/>
        </w:rPr>
        <w:t>43、《建筑防火通用规范》（GB 55037 - 2022）</w:t>
      </w:r>
      <w:r>
        <w:rPr>
          <w:rFonts w:hint="eastAsia" w:hAnsi="宋体" w:cs="宋体"/>
          <w:snapToGrid w:val="0"/>
          <w:color w:val="auto"/>
          <w:sz w:val="28"/>
          <w:szCs w:val="30"/>
          <w:lang w:val="en-US" w:eastAsia="zh-CN"/>
        </w:rPr>
        <w:t>。</w:t>
      </w:r>
    </w:p>
    <w:p w14:paraId="380A3C8F">
      <w:pPr>
        <w:pStyle w:val="4"/>
        <w:snapToGrid w:val="0"/>
        <w:spacing w:before="20" w:after="20" w:line="520" w:lineRule="exact"/>
        <w:ind w:leftChars="0"/>
        <w:rPr>
          <w:rFonts w:hint="eastAsia" w:ascii="宋体" w:hAnsi="宋体" w:eastAsia="宋体" w:cs="宋体"/>
          <w:snapToGrid w:val="0"/>
          <w:color w:val="auto"/>
          <w:kern w:val="0"/>
          <w:sz w:val="28"/>
          <w:szCs w:val="28"/>
        </w:rPr>
      </w:pPr>
      <w:bookmarkStart w:id="41" w:name="_Toc10936"/>
      <w:bookmarkStart w:id="42" w:name="_Toc7909"/>
      <w:bookmarkStart w:id="43" w:name="_Toc26320"/>
      <w:bookmarkStart w:id="44" w:name="_Toc11016"/>
      <w:bookmarkStart w:id="45" w:name="_Toc18255"/>
      <w:r>
        <w:rPr>
          <w:rFonts w:hint="eastAsia" w:ascii="宋体" w:hAnsi="宋体" w:eastAsia="宋体" w:cs="宋体"/>
          <w:snapToGrid w:val="0"/>
          <w:color w:val="auto"/>
          <w:kern w:val="0"/>
          <w:sz w:val="28"/>
          <w:szCs w:val="28"/>
        </w:rPr>
        <w:t>1.2.6行业标准</w:t>
      </w:r>
      <w:bookmarkEnd w:id="41"/>
      <w:bookmarkEnd w:id="42"/>
      <w:bookmarkEnd w:id="43"/>
      <w:bookmarkEnd w:id="44"/>
      <w:bookmarkEnd w:id="45"/>
    </w:p>
    <w:p w14:paraId="022CAC51">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left"/>
        <w:textAlignment w:val="auto"/>
        <w:outlineLvl w:val="9"/>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1、《</w:t>
      </w:r>
      <w:r>
        <w:rPr>
          <w:rFonts w:hint="eastAsia" w:ascii="宋体" w:hAnsi="宋体" w:eastAsia="宋体" w:cs="宋体"/>
          <w:snapToGrid w:val="0"/>
          <w:color w:val="auto"/>
          <w:sz w:val="28"/>
          <w:szCs w:val="28"/>
          <w:lang w:eastAsia="zh-CN"/>
        </w:rPr>
        <w:t>固定式压力容器安全技术监察规程</w:t>
      </w:r>
      <w:r>
        <w:rPr>
          <w:rFonts w:hint="eastAsia" w:ascii="宋体" w:hAnsi="宋体" w:eastAsia="宋体" w:cs="宋体"/>
          <w:snapToGrid w:val="0"/>
          <w:color w:val="auto"/>
          <w:sz w:val="28"/>
          <w:szCs w:val="28"/>
        </w:rPr>
        <w:t>》（</w:t>
      </w:r>
      <w:r>
        <w:rPr>
          <w:rFonts w:hint="eastAsia" w:ascii="宋体" w:hAnsi="宋体" w:eastAsia="宋体" w:cs="宋体"/>
          <w:snapToGrid w:val="0"/>
          <w:color w:val="auto"/>
          <w:sz w:val="28"/>
          <w:szCs w:val="28"/>
          <w:lang w:eastAsia="zh-CN"/>
        </w:rPr>
        <w:t>TSG21-2016</w:t>
      </w:r>
      <w:r>
        <w:rPr>
          <w:rFonts w:hint="eastAsia" w:ascii="宋体" w:hAnsi="宋体" w:eastAsia="宋体" w:cs="宋体"/>
          <w:snapToGrid w:val="0"/>
          <w:color w:val="auto"/>
          <w:sz w:val="28"/>
          <w:szCs w:val="28"/>
        </w:rPr>
        <w:t>）；</w:t>
      </w:r>
    </w:p>
    <w:p w14:paraId="5901783E">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left"/>
        <w:textAlignment w:val="auto"/>
        <w:outlineLvl w:val="9"/>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lang w:val="en-US" w:eastAsia="zh-CN"/>
        </w:rPr>
        <w:t>2</w:t>
      </w:r>
      <w:r>
        <w:rPr>
          <w:rFonts w:hint="eastAsia" w:ascii="宋体" w:hAnsi="宋体" w:eastAsia="宋体" w:cs="宋体"/>
          <w:snapToGrid w:val="0"/>
          <w:color w:val="auto"/>
          <w:sz w:val="28"/>
          <w:szCs w:val="28"/>
        </w:rPr>
        <w:t>、《压力管道安全技术监察规程—工业管道》（TSGD0001-2009）；</w:t>
      </w:r>
    </w:p>
    <w:p w14:paraId="5C82B86E">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left"/>
        <w:textAlignment w:val="auto"/>
        <w:outlineLvl w:val="9"/>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lang w:val="en-US" w:eastAsia="zh-CN"/>
        </w:rPr>
        <w:t>3</w:t>
      </w:r>
      <w:r>
        <w:rPr>
          <w:rFonts w:hint="eastAsia" w:ascii="宋体" w:hAnsi="宋体" w:eastAsia="宋体" w:cs="宋体"/>
          <w:snapToGrid w:val="0"/>
          <w:color w:val="auto"/>
          <w:sz w:val="28"/>
          <w:szCs w:val="28"/>
        </w:rPr>
        <w:t>、《危险场所电气防爆安全规范》（AQ3009-2007）；</w:t>
      </w:r>
    </w:p>
    <w:p w14:paraId="1D4031F2">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left"/>
        <w:textAlignment w:val="auto"/>
        <w:outlineLvl w:val="9"/>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lang w:val="en-US" w:eastAsia="zh-CN"/>
        </w:rPr>
        <w:t>4</w:t>
      </w:r>
      <w:r>
        <w:rPr>
          <w:rFonts w:hint="eastAsia" w:ascii="宋体" w:hAnsi="宋体" w:eastAsia="宋体" w:cs="宋体"/>
          <w:snapToGrid w:val="0"/>
          <w:color w:val="auto"/>
          <w:sz w:val="28"/>
          <w:szCs w:val="28"/>
        </w:rPr>
        <w:t>、《安全评价通则》（AQ8001-2007）；</w:t>
      </w:r>
    </w:p>
    <w:p w14:paraId="77D17D5A">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left"/>
        <w:textAlignment w:val="auto"/>
        <w:outlineLvl w:val="9"/>
        <w:rPr>
          <w:rFonts w:hint="eastAsia" w:ascii="宋体" w:hAnsi="宋体" w:eastAsia="宋体" w:cs="宋体"/>
          <w:snapToGrid w:val="0"/>
          <w:color w:val="auto"/>
          <w:sz w:val="28"/>
          <w:szCs w:val="28"/>
          <w:lang w:eastAsia="zh-CN"/>
        </w:rPr>
      </w:pPr>
      <w:r>
        <w:rPr>
          <w:rFonts w:hint="eastAsia" w:ascii="宋体" w:hAnsi="宋体" w:eastAsia="宋体" w:cs="宋体"/>
          <w:snapToGrid w:val="0"/>
          <w:color w:val="auto"/>
          <w:sz w:val="28"/>
          <w:szCs w:val="28"/>
          <w:lang w:val="en-US" w:eastAsia="zh-CN"/>
        </w:rPr>
        <w:t>5</w:t>
      </w:r>
      <w:r>
        <w:rPr>
          <w:rFonts w:hint="eastAsia" w:ascii="宋体" w:hAnsi="宋体" w:eastAsia="宋体" w:cs="宋体"/>
          <w:snapToGrid w:val="0"/>
          <w:color w:val="auto"/>
          <w:sz w:val="28"/>
          <w:szCs w:val="28"/>
        </w:rPr>
        <w:t>、《</w:t>
      </w:r>
      <w:r>
        <w:rPr>
          <w:rFonts w:hint="eastAsia" w:ascii="宋体" w:hAnsi="宋体" w:eastAsia="宋体" w:cs="宋体"/>
          <w:snapToGrid w:val="0"/>
          <w:color w:val="auto"/>
          <w:sz w:val="28"/>
          <w:szCs w:val="28"/>
          <w:lang w:eastAsia="zh-CN"/>
        </w:rPr>
        <w:t>生产安全事故应急演练基本规范</w:t>
      </w:r>
      <w:r>
        <w:rPr>
          <w:rFonts w:hint="eastAsia" w:ascii="宋体" w:hAnsi="宋体" w:eastAsia="宋体" w:cs="宋体"/>
          <w:snapToGrid w:val="0"/>
          <w:color w:val="auto"/>
          <w:sz w:val="28"/>
          <w:szCs w:val="28"/>
        </w:rPr>
        <w:t>》（</w:t>
      </w:r>
      <w:r>
        <w:rPr>
          <w:rFonts w:hint="eastAsia" w:ascii="宋体" w:hAnsi="宋体" w:eastAsia="宋体" w:cs="宋体"/>
          <w:snapToGrid w:val="0"/>
          <w:color w:val="auto"/>
          <w:sz w:val="28"/>
          <w:szCs w:val="28"/>
          <w:lang w:eastAsia="zh-CN"/>
        </w:rPr>
        <w:t>AQ/T9007-2019</w:t>
      </w:r>
      <w:r>
        <w:rPr>
          <w:rFonts w:hint="eastAsia" w:ascii="宋体" w:hAnsi="宋体" w:eastAsia="宋体" w:cs="宋体"/>
          <w:snapToGrid w:val="0"/>
          <w:color w:val="auto"/>
          <w:sz w:val="28"/>
          <w:szCs w:val="28"/>
        </w:rPr>
        <w:t>）</w:t>
      </w:r>
      <w:r>
        <w:rPr>
          <w:rFonts w:hint="eastAsia" w:ascii="宋体" w:hAnsi="宋体" w:eastAsia="宋体" w:cs="宋体"/>
          <w:snapToGrid w:val="0"/>
          <w:color w:val="auto"/>
          <w:sz w:val="28"/>
          <w:szCs w:val="28"/>
          <w:lang w:eastAsia="zh-CN"/>
        </w:rPr>
        <w:t>；</w:t>
      </w:r>
    </w:p>
    <w:p w14:paraId="23F35A2B">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jc w:val="left"/>
        <w:textAlignment w:val="auto"/>
        <w:outlineLvl w:val="9"/>
        <w:rPr>
          <w:rFonts w:hint="eastAsia" w:ascii="宋体" w:hAnsi="宋体" w:eastAsia="宋体" w:cs="宋体"/>
          <w:b w:val="0"/>
          <w:bCs w:val="0"/>
          <w:snapToGrid w:val="0"/>
          <w:kern w:val="0"/>
          <w:sz w:val="28"/>
          <w:szCs w:val="28"/>
          <w:lang w:val="en-US" w:eastAsia="zh-CN" w:bidi="ar-SA"/>
        </w:rPr>
      </w:pPr>
      <w:r>
        <w:rPr>
          <w:rFonts w:hint="eastAsia" w:ascii="宋体" w:hAnsi="宋体" w:eastAsia="宋体" w:cs="宋体"/>
          <w:snapToGrid w:val="0"/>
          <w:color w:val="auto"/>
          <w:sz w:val="28"/>
          <w:szCs w:val="28"/>
          <w:lang w:val="en-US" w:eastAsia="zh-CN"/>
        </w:rPr>
        <w:t>6、</w:t>
      </w:r>
      <w:r>
        <w:rPr>
          <w:rFonts w:hint="eastAsia" w:ascii="宋体" w:hAnsi="宋体" w:eastAsia="宋体" w:cs="宋体"/>
          <w:b w:val="0"/>
          <w:bCs w:val="0"/>
          <w:snapToGrid w:val="0"/>
          <w:kern w:val="0"/>
          <w:sz w:val="28"/>
          <w:szCs w:val="28"/>
          <w:lang w:val="en-US" w:eastAsia="zh-CN" w:bidi="ar-SA"/>
        </w:rPr>
        <w:t>《起重机械安全技术规程》（TSG 51 - 2023）；</w:t>
      </w:r>
    </w:p>
    <w:p w14:paraId="0FCF0179">
      <w:pPr>
        <w:keepNext w:val="0"/>
        <w:keepLines w:val="0"/>
        <w:pageBreakBefore w:val="0"/>
        <w:widowControl/>
        <w:suppressLineNumbers w:val="0"/>
        <w:pBdr>
          <w:bottom w:val="none" w:color="auto" w:sz="0" w:space="0"/>
        </w:pBdr>
        <w:shd w:val="clear" w:fill="FFFFFF"/>
        <w:kinsoku/>
        <w:wordWrap/>
        <w:overflowPunct/>
        <w:topLinePunct w:val="0"/>
        <w:autoSpaceDE/>
        <w:autoSpaceDN/>
        <w:bidi w:val="0"/>
        <w:adjustRightInd/>
        <w:snapToGrid/>
        <w:spacing w:before="0" w:after="0" w:line="600" w:lineRule="exact"/>
        <w:ind w:left="0" w:leftChars="0" w:firstLine="560" w:firstLineChars="200"/>
        <w:textAlignment w:val="auto"/>
        <w:outlineLvl w:val="9"/>
        <w:rPr>
          <w:rFonts w:hint="eastAsia" w:ascii="宋体" w:hAnsi="宋体" w:eastAsia="宋体" w:cs="宋体"/>
          <w:b w:val="0"/>
          <w:bCs w:val="0"/>
          <w:i w:val="0"/>
          <w:iCs w:val="0"/>
          <w:caps w:val="0"/>
          <w:spacing w:val="0"/>
          <w:sz w:val="28"/>
          <w:szCs w:val="28"/>
          <w:lang w:eastAsia="zh-CN"/>
        </w:rPr>
      </w:pPr>
      <w:r>
        <w:rPr>
          <w:rFonts w:hint="eastAsia" w:ascii="宋体" w:hAnsi="宋体" w:eastAsia="宋体" w:cs="宋体"/>
          <w:b w:val="0"/>
          <w:bCs w:val="0"/>
          <w:snapToGrid w:val="0"/>
          <w:kern w:val="0"/>
          <w:sz w:val="28"/>
          <w:szCs w:val="28"/>
          <w:lang w:val="en-US" w:eastAsia="zh-CN" w:bidi="ar-SA"/>
        </w:rPr>
        <w:t>7、</w:t>
      </w:r>
      <w:r>
        <w:rPr>
          <w:rFonts w:hint="eastAsia" w:ascii="宋体" w:hAnsi="宋体" w:eastAsia="宋体" w:cs="宋体"/>
          <w:b w:val="0"/>
          <w:bCs w:val="0"/>
          <w:i w:val="0"/>
          <w:iCs w:val="0"/>
          <w:caps w:val="0"/>
          <w:spacing w:val="0"/>
          <w:sz w:val="28"/>
          <w:szCs w:val="28"/>
          <w:shd w:val="clear" w:fill="FFFFFF"/>
        </w:rPr>
        <w:t>《特种设备使用管理规则》（TSG 08 - 2017）</w:t>
      </w:r>
      <w:r>
        <w:rPr>
          <w:rFonts w:hint="eastAsia" w:ascii="宋体" w:hAnsi="宋体" w:eastAsia="宋体" w:cs="宋体"/>
          <w:b w:val="0"/>
          <w:bCs w:val="0"/>
          <w:i w:val="0"/>
          <w:iCs w:val="0"/>
          <w:caps w:val="0"/>
          <w:spacing w:val="0"/>
          <w:sz w:val="28"/>
          <w:szCs w:val="28"/>
          <w:shd w:val="clear" w:fill="FFFFFF"/>
          <w:lang w:eastAsia="zh-CN"/>
        </w:rPr>
        <w:t>；</w:t>
      </w:r>
    </w:p>
    <w:p w14:paraId="5B8CB114">
      <w:pPr>
        <w:keepNext w:val="0"/>
        <w:keepLines w:val="0"/>
        <w:pageBreakBefore w:val="0"/>
        <w:widowControl/>
        <w:suppressLineNumbers w:val="0"/>
        <w:pBdr>
          <w:bottom w:val="none" w:color="auto" w:sz="0" w:space="0"/>
        </w:pBdr>
        <w:shd w:val="clear" w:fill="FFFFFF"/>
        <w:kinsoku/>
        <w:wordWrap/>
        <w:overflowPunct/>
        <w:topLinePunct w:val="0"/>
        <w:autoSpaceDE/>
        <w:autoSpaceDN/>
        <w:bidi w:val="0"/>
        <w:adjustRightInd/>
        <w:snapToGrid/>
        <w:spacing w:before="0" w:after="0" w:line="600" w:lineRule="exact"/>
        <w:ind w:left="0" w:leftChars="0" w:firstLine="560" w:firstLineChars="200"/>
        <w:textAlignment w:val="auto"/>
        <w:outlineLvl w:val="9"/>
        <w:rPr>
          <w:rFonts w:hint="eastAsia" w:ascii="宋体" w:hAnsi="宋体" w:eastAsia="宋体" w:cs="宋体"/>
          <w:b w:val="0"/>
          <w:bCs w:val="0"/>
          <w:i w:val="0"/>
          <w:iCs w:val="0"/>
          <w:caps w:val="0"/>
          <w:spacing w:val="0"/>
          <w:sz w:val="28"/>
          <w:szCs w:val="28"/>
          <w:lang w:eastAsia="zh-CN"/>
        </w:rPr>
      </w:pPr>
      <w:r>
        <w:rPr>
          <w:rFonts w:hint="eastAsia" w:ascii="宋体" w:hAnsi="宋体" w:eastAsia="宋体" w:cs="宋体"/>
          <w:b w:val="0"/>
          <w:bCs w:val="0"/>
          <w:i w:val="0"/>
          <w:iCs w:val="0"/>
          <w:caps w:val="0"/>
          <w:spacing w:val="0"/>
          <w:sz w:val="28"/>
          <w:szCs w:val="28"/>
          <w:shd w:val="clear" w:fill="FFFFFF"/>
          <w:lang w:val="en-US" w:eastAsia="zh-CN"/>
        </w:rPr>
        <w:t>8、</w:t>
      </w:r>
      <w:r>
        <w:rPr>
          <w:rFonts w:hint="eastAsia" w:ascii="宋体" w:hAnsi="宋体" w:eastAsia="宋体" w:cs="宋体"/>
          <w:b w:val="0"/>
          <w:bCs w:val="0"/>
          <w:i w:val="0"/>
          <w:iCs w:val="0"/>
          <w:caps w:val="0"/>
          <w:spacing w:val="0"/>
          <w:sz w:val="28"/>
          <w:szCs w:val="28"/>
          <w:shd w:val="clear" w:fill="FFFFFF"/>
        </w:rPr>
        <w:t>《安全阀安全技术监察规程》（TSG ZF001 - 2006）</w:t>
      </w:r>
      <w:r>
        <w:rPr>
          <w:rFonts w:hint="eastAsia" w:ascii="宋体" w:hAnsi="宋体" w:eastAsia="宋体" w:cs="宋体"/>
          <w:b w:val="0"/>
          <w:bCs w:val="0"/>
          <w:i w:val="0"/>
          <w:iCs w:val="0"/>
          <w:caps w:val="0"/>
          <w:spacing w:val="0"/>
          <w:sz w:val="28"/>
          <w:szCs w:val="28"/>
          <w:shd w:val="clear" w:fill="FFFFFF"/>
          <w:lang w:eastAsia="zh-CN"/>
        </w:rPr>
        <w:t>。</w:t>
      </w:r>
    </w:p>
    <w:p w14:paraId="4C72DD81">
      <w:pPr>
        <w:pStyle w:val="4"/>
        <w:pageBreakBefore w:val="0"/>
        <w:widowControl w:val="0"/>
        <w:kinsoku/>
        <w:wordWrap/>
        <w:overflowPunct/>
        <w:topLinePunct w:val="0"/>
        <w:autoSpaceDE/>
        <w:autoSpaceDN/>
        <w:bidi w:val="0"/>
        <w:adjustRightInd/>
        <w:snapToGrid w:val="0"/>
        <w:spacing w:before="0" w:after="0" w:line="600" w:lineRule="exact"/>
        <w:ind w:leftChars="0"/>
        <w:textAlignment w:val="auto"/>
        <w:rPr>
          <w:rFonts w:hint="eastAsia" w:ascii="宋体" w:hAnsi="宋体" w:eastAsia="宋体" w:cs="宋体"/>
          <w:snapToGrid w:val="0"/>
          <w:color w:val="auto"/>
          <w:kern w:val="0"/>
          <w:sz w:val="28"/>
          <w:szCs w:val="28"/>
        </w:rPr>
      </w:pPr>
      <w:bookmarkStart w:id="46" w:name="_Toc2065"/>
      <w:bookmarkStart w:id="47" w:name="_Toc32007"/>
      <w:bookmarkStart w:id="48" w:name="_Toc14659"/>
      <w:bookmarkStart w:id="49" w:name="_Toc335926130"/>
      <w:bookmarkStart w:id="50" w:name="_Toc3750"/>
      <w:bookmarkStart w:id="51" w:name="_Toc313453425"/>
      <w:bookmarkStart w:id="52" w:name="_Toc12307"/>
      <w:r>
        <w:rPr>
          <w:rFonts w:hint="eastAsia" w:ascii="宋体" w:hAnsi="宋体" w:eastAsia="宋体" w:cs="宋体"/>
          <w:snapToGrid w:val="0"/>
          <w:color w:val="auto"/>
          <w:kern w:val="0"/>
          <w:sz w:val="28"/>
          <w:szCs w:val="28"/>
        </w:rPr>
        <w:t>1.2.7其他相关参考资料</w:t>
      </w:r>
      <w:bookmarkEnd w:id="46"/>
      <w:bookmarkEnd w:id="47"/>
      <w:bookmarkEnd w:id="48"/>
      <w:bookmarkEnd w:id="49"/>
      <w:bookmarkEnd w:id="50"/>
      <w:bookmarkEnd w:id="51"/>
      <w:bookmarkEnd w:id="52"/>
    </w:p>
    <w:p w14:paraId="3D8E4C88">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1、</w:t>
      </w:r>
      <w:r>
        <w:rPr>
          <w:rFonts w:hint="eastAsia"/>
          <w:sz w:val="28"/>
          <w:szCs w:val="28"/>
        </w:rPr>
        <w:t>云南高机精密数控机床有限公司</w:t>
      </w:r>
      <w:r>
        <w:rPr>
          <w:rFonts w:hint="eastAsia" w:ascii="宋体" w:hAnsi="宋体" w:eastAsia="宋体" w:cs="宋体"/>
          <w:snapToGrid w:val="0"/>
          <w:color w:val="auto"/>
          <w:sz w:val="28"/>
          <w:szCs w:val="30"/>
        </w:rPr>
        <w:t>委托</w:t>
      </w:r>
      <w:r>
        <w:rPr>
          <w:rFonts w:hint="eastAsia" w:ascii="宋体" w:hAnsi="宋体" w:eastAsia="宋体" w:cs="宋体"/>
          <w:snapToGrid w:val="0"/>
          <w:color w:val="auto"/>
          <w:sz w:val="28"/>
          <w:szCs w:val="30"/>
          <w:highlight w:val="none"/>
          <w:lang w:eastAsia="zh-CN"/>
        </w:rPr>
        <w:t>昭通市鼎安科技有限公司</w:t>
      </w:r>
      <w:r>
        <w:rPr>
          <w:rFonts w:hint="eastAsia" w:ascii="宋体" w:hAnsi="宋体" w:eastAsia="宋体" w:cs="宋体"/>
          <w:snapToGrid w:val="0"/>
          <w:color w:val="auto"/>
          <w:sz w:val="28"/>
          <w:szCs w:val="30"/>
        </w:rPr>
        <w:t>进行安全评价的《委托书》；</w:t>
      </w:r>
    </w:p>
    <w:p w14:paraId="6EF449F3">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2、与本项目有关技术文件、资料和图片；类似工程资料及参考文献；</w:t>
      </w:r>
    </w:p>
    <w:p w14:paraId="0694EE9F">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snapToGrid w:val="0"/>
          <w:color w:val="auto"/>
          <w:sz w:val="28"/>
          <w:szCs w:val="30"/>
        </w:rPr>
      </w:pPr>
      <w:r>
        <w:rPr>
          <w:rFonts w:hint="eastAsia" w:ascii="宋体" w:hAnsi="宋体" w:eastAsia="宋体" w:cs="宋体"/>
          <w:snapToGrid w:val="0"/>
          <w:color w:val="auto"/>
          <w:sz w:val="28"/>
          <w:szCs w:val="30"/>
        </w:rPr>
        <w:t>3、业主提供的相关证照及项目运行管理资料等。</w:t>
      </w:r>
    </w:p>
    <w:p w14:paraId="7E9E5DE8">
      <w:pPr>
        <w:keepNext w:val="0"/>
        <w:keepLines w:val="0"/>
        <w:pageBreakBefore w:val="0"/>
        <w:widowControl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53" w:name="_Toc14562"/>
      <w:bookmarkStart w:id="54" w:name="_Toc19808"/>
      <w:r>
        <w:rPr>
          <w:rFonts w:hint="eastAsia" w:ascii="宋体" w:hAnsi="宋体" w:eastAsia="宋体" w:cs="宋体"/>
          <w:b/>
          <w:bCs/>
          <w:spacing w:val="1"/>
          <w:sz w:val="30"/>
          <w:szCs w:val="30"/>
        </w:rPr>
        <w:t>1.</w:t>
      </w:r>
      <w:r>
        <w:rPr>
          <w:rFonts w:hint="eastAsia" w:ascii="宋体" w:hAnsi="宋体" w:eastAsia="宋体" w:cs="宋体"/>
          <w:b/>
          <w:bCs/>
          <w:spacing w:val="1"/>
          <w:sz w:val="30"/>
          <w:szCs w:val="30"/>
          <w:lang w:val="en-US" w:eastAsia="zh-CN"/>
        </w:rPr>
        <w:t>3</w:t>
      </w:r>
      <w:r>
        <w:rPr>
          <w:rFonts w:hint="eastAsia" w:ascii="宋体" w:hAnsi="宋体" w:eastAsia="宋体" w:cs="宋体"/>
          <w:b/>
          <w:bCs/>
          <w:spacing w:val="1"/>
          <w:sz w:val="30"/>
          <w:szCs w:val="30"/>
        </w:rPr>
        <w:t>评价原则及范围</w:t>
      </w:r>
      <w:bookmarkEnd w:id="53"/>
      <w:bookmarkEnd w:id="54"/>
    </w:p>
    <w:p w14:paraId="7EA586C1">
      <w:pPr>
        <w:keepNext w:val="0"/>
        <w:keepLines w:val="0"/>
        <w:pageBreakBefore w:val="0"/>
        <w:widowControl w:val="0"/>
        <w:kinsoku/>
        <w:wordWrap/>
        <w:overflowPunct/>
        <w:topLinePunct w:val="0"/>
        <w:autoSpaceDE/>
        <w:autoSpaceDN/>
        <w:bidi w:val="0"/>
        <w:adjustRightInd/>
        <w:snapToGrid/>
        <w:spacing w:line="600" w:lineRule="exact"/>
        <w:ind w:left="0" w:right="0"/>
        <w:textAlignment w:val="auto"/>
        <w:outlineLvl w:val="2"/>
        <w:rPr>
          <w:rFonts w:hint="eastAsia" w:ascii="宋体" w:hAnsi="宋体" w:eastAsia="宋体" w:cs="宋体"/>
          <w:sz w:val="28"/>
          <w:szCs w:val="28"/>
        </w:rPr>
      </w:pPr>
      <w:bookmarkStart w:id="55" w:name="_Toc4743"/>
      <w:bookmarkStart w:id="56" w:name="_Toc22174"/>
      <w:r>
        <w:rPr>
          <w:rFonts w:hint="eastAsia" w:ascii="宋体" w:hAnsi="宋体" w:eastAsia="宋体" w:cs="宋体"/>
          <w:b/>
          <w:bCs/>
          <w:spacing w:val="-1"/>
          <w:sz w:val="28"/>
          <w:szCs w:val="28"/>
        </w:rPr>
        <w:t>1.</w:t>
      </w:r>
      <w:r>
        <w:rPr>
          <w:rFonts w:hint="eastAsia" w:ascii="宋体" w:hAnsi="宋体" w:eastAsia="宋体" w:cs="宋体"/>
          <w:b/>
          <w:bCs/>
          <w:spacing w:val="-1"/>
          <w:sz w:val="28"/>
          <w:szCs w:val="28"/>
          <w:lang w:val="en-US" w:eastAsia="zh-CN"/>
        </w:rPr>
        <w:t>3</w:t>
      </w:r>
      <w:r>
        <w:rPr>
          <w:rFonts w:hint="eastAsia" w:ascii="宋体" w:hAnsi="宋体" w:eastAsia="宋体" w:cs="宋体"/>
          <w:b/>
          <w:bCs/>
          <w:spacing w:val="-1"/>
          <w:sz w:val="28"/>
          <w:szCs w:val="28"/>
        </w:rPr>
        <w:t>.1</w:t>
      </w:r>
      <w:r>
        <w:rPr>
          <w:rFonts w:hint="eastAsia" w:ascii="宋体" w:hAnsi="宋体" w:eastAsia="宋体" w:cs="宋体"/>
          <w:spacing w:val="-58"/>
          <w:sz w:val="28"/>
          <w:szCs w:val="28"/>
        </w:rPr>
        <w:t xml:space="preserve"> </w:t>
      </w:r>
      <w:r>
        <w:rPr>
          <w:rFonts w:hint="eastAsia" w:ascii="宋体" w:hAnsi="宋体" w:eastAsia="宋体" w:cs="宋体"/>
          <w:b/>
          <w:bCs/>
          <w:spacing w:val="-1"/>
          <w:sz w:val="28"/>
          <w:szCs w:val="28"/>
        </w:rPr>
        <w:t>评价原则</w:t>
      </w:r>
      <w:bookmarkEnd w:id="55"/>
      <w:bookmarkEnd w:id="56"/>
    </w:p>
    <w:p w14:paraId="1C80DB07">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textAlignment w:val="auto"/>
        <w:rPr>
          <w:rFonts w:ascii="宋体" w:hAnsi="宋体" w:eastAsia="宋体" w:cs="宋体"/>
          <w:spacing w:val="0"/>
          <w:sz w:val="28"/>
          <w:szCs w:val="28"/>
        </w:rPr>
      </w:pPr>
      <w:r>
        <w:rPr>
          <w:rFonts w:ascii="宋体" w:hAnsi="宋体" w:eastAsia="宋体" w:cs="宋体"/>
          <w:spacing w:val="0"/>
          <w:sz w:val="28"/>
          <w:szCs w:val="28"/>
        </w:rPr>
        <w:t>昭通市鼎安科技有限公司在对该项目进行安全评价工作中，始终坚持以下原则：</w:t>
      </w:r>
    </w:p>
    <w:p w14:paraId="1E1FFAC6">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ascii="宋体" w:hAnsi="宋体" w:eastAsia="宋体" w:cs="宋体"/>
          <w:spacing w:val="0"/>
          <w:sz w:val="28"/>
          <w:szCs w:val="28"/>
        </w:rPr>
      </w:pPr>
      <w:r>
        <w:rPr>
          <w:rFonts w:ascii="宋体" w:hAnsi="宋体" w:eastAsia="宋体" w:cs="宋体"/>
          <w:spacing w:val="0"/>
          <w:sz w:val="28"/>
          <w:szCs w:val="28"/>
        </w:rPr>
        <w:t>1.严格执行国家现行有关法律、法规、标准和规范的要求，保证对该企业申请安全生产许可证应当具备的安全生产条件进行科学、公正、合法、自主的评价；</w:t>
      </w:r>
    </w:p>
    <w:p w14:paraId="2DEDA6FF">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textAlignment w:val="auto"/>
        <w:rPr>
          <w:rFonts w:ascii="宋体" w:hAnsi="宋体" w:eastAsia="宋体" w:cs="宋体"/>
          <w:spacing w:val="0"/>
          <w:sz w:val="28"/>
          <w:szCs w:val="28"/>
        </w:rPr>
      </w:pPr>
      <w:r>
        <w:rPr>
          <w:rFonts w:ascii="宋体" w:hAnsi="宋体" w:eastAsia="宋体" w:cs="宋体"/>
          <w:spacing w:val="0"/>
          <w:sz w:val="28"/>
          <w:szCs w:val="28"/>
        </w:rPr>
        <w:t>2.执行行业及地方现行有关法规、标准、规范和政策的要求，保证评价与当地经济发展的适应性；</w:t>
      </w:r>
    </w:p>
    <w:p w14:paraId="35B47AE5">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textAlignment w:val="auto"/>
        <w:rPr>
          <w:rFonts w:ascii="宋体" w:hAnsi="宋体" w:eastAsia="宋体" w:cs="宋体"/>
          <w:spacing w:val="0"/>
          <w:sz w:val="28"/>
          <w:szCs w:val="28"/>
        </w:rPr>
      </w:pPr>
      <w:r>
        <w:rPr>
          <w:rFonts w:ascii="宋体" w:hAnsi="宋体" w:eastAsia="宋体" w:cs="宋体"/>
          <w:spacing w:val="0"/>
          <w:sz w:val="28"/>
          <w:szCs w:val="28"/>
        </w:rPr>
        <w:t>3.采用可靠、适用的评价技术和评价方法，保证评价的针对性</w:t>
      </w:r>
      <w:r>
        <w:rPr>
          <w:rFonts w:hint="eastAsia" w:ascii="宋体" w:hAnsi="宋体" w:eastAsia="宋体" w:cs="宋体"/>
          <w:spacing w:val="0"/>
          <w:sz w:val="28"/>
          <w:szCs w:val="28"/>
          <w:lang w:eastAsia="zh-CN"/>
        </w:rPr>
        <w:t>，</w:t>
      </w:r>
      <w:r>
        <w:rPr>
          <w:rFonts w:ascii="宋体" w:hAnsi="宋体" w:eastAsia="宋体" w:cs="宋体"/>
          <w:spacing w:val="0"/>
          <w:sz w:val="28"/>
          <w:szCs w:val="28"/>
        </w:rPr>
        <w:t>确保评价质量；</w:t>
      </w:r>
    </w:p>
    <w:p w14:paraId="1FF53EEC">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textAlignment w:val="auto"/>
        <w:rPr>
          <w:rFonts w:hint="eastAsia" w:ascii="宋体" w:hAnsi="宋体" w:eastAsia="宋体" w:cs="宋体"/>
          <w:b/>
          <w:bCs/>
          <w:spacing w:val="-1"/>
          <w:sz w:val="28"/>
          <w:szCs w:val="28"/>
        </w:rPr>
      </w:pPr>
      <w:r>
        <w:rPr>
          <w:rFonts w:ascii="宋体" w:hAnsi="宋体" w:eastAsia="宋体" w:cs="宋体"/>
          <w:spacing w:val="0"/>
          <w:sz w:val="28"/>
          <w:szCs w:val="28"/>
        </w:rPr>
        <w:t>4.恪守职业道德，遵循诚实守信的原则，对被评价企业的技术资 料和商业运作保密。</w:t>
      </w:r>
    </w:p>
    <w:p w14:paraId="66D0F421">
      <w:pPr>
        <w:keepNext w:val="0"/>
        <w:keepLines w:val="0"/>
        <w:pageBreakBefore w:val="0"/>
        <w:widowControl w:val="0"/>
        <w:kinsoku/>
        <w:wordWrap/>
        <w:overflowPunct/>
        <w:topLinePunct w:val="0"/>
        <w:autoSpaceDE/>
        <w:autoSpaceDN/>
        <w:bidi w:val="0"/>
        <w:adjustRightInd/>
        <w:snapToGrid/>
        <w:spacing w:line="600" w:lineRule="exact"/>
        <w:textAlignment w:val="auto"/>
        <w:outlineLvl w:val="2"/>
        <w:rPr>
          <w:rFonts w:hint="eastAsia" w:ascii="宋体" w:hAnsi="宋体" w:eastAsia="宋体" w:cs="宋体"/>
          <w:b/>
          <w:bCs/>
          <w:sz w:val="28"/>
          <w:szCs w:val="28"/>
        </w:rPr>
      </w:pPr>
      <w:bookmarkStart w:id="57" w:name="_Toc13758"/>
      <w:bookmarkStart w:id="58" w:name="_Toc8101"/>
      <w:r>
        <w:rPr>
          <w:rFonts w:hint="eastAsia" w:ascii="宋体" w:hAnsi="宋体" w:eastAsia="宋体" w:cs="宋体"/>
          <w:b/>
          <w:bCs/>
          <w:spacing w:val="-1"/>
          <w:sz w:val="28"/>
          <w:szCs w:val="28"/>
        </w:rPr>
        <w:t>1.</w:t>
      </w:r>
      <w:r>
        <w:rPr>
          <w:rFonts w:hint="eastAsia" w:ascii="宋体" w:hAnsi="宋体" w:eastAsia="宋体" w:cs="宋体"/>
          <w:b/>
          <w:bCs/>
          <w:spacing w:val="-1"/>
          <w:sz w:val="28"/>
          <w:szCs w:val="28"/>
          <w:lang w:val="en-US" w:eastAsia="zh-CN"/>
        </w:rPr>
        <w:t>3</w:t>
      </w:r>
      <w:r>
        <w:rPr>
          <w:rFonts w:hint="eastAsia" w:ascii="宋体" w:hAnsi="宋体" w:eastAsia="宋体" w:cs="宋体"/>
          <w:b/>
          <w:bCs/>
          <w:spacing w:val="-1"/>
          <w:sz w:val="28"/>
          <w:szCs w:val="28"/>
        </w:rPr>
        <w:t>.2</w:t>
      </w:r>
      <w:r>
        <w:rPr>
          <w:rFonts w:hint="eastAsia" w:ascii="宋体" w:hAnsi="宋体" w:eastAsia="宋体" w:cs="宋体"/>
          <w:b/>
          <w:bCs/>
          <w:spacing w:val="-56"/>
          <w:sz w:val="28"/>
          <w:szCs w:val="28"/>
        </w:rPr>
        <w:t xml:space="preserve"> </w:t>
      </w:r>
      <w:r>
        <w:rPr>
          <w:rFonts w:hint="eastAsia" w:ascii="宋体" w:hAnsi="宋体" w:eastAsia="宋体" w:cs="宋体"/>
          <w:b/>
          <w:bCs/>
          <w:spacing w:val="-1"/>
          <w:sz w:val="28"/>
          <w:szCs w:val="28"/>
        </w:rPr>
        <w:t>评价范围</w:t>
      </w:r>
      <w:bookmarkEnd w:id="57"/>
      <w:bookmarkEnd w:id="58"/>
    </w:p>
    <w:p w14:paraId="280B358D">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ascii="宋体" w:hAnsi="宋体" w:eastAsia="宋体" w:cs="宋体"/>
          <w:sz w:val="28"/>
          <w:szCs w:val="28"/>
        </w:rPr>
      </w:pPr>
      <w:r>
        <w:rPr>
          <w:rFonts w:hint="eastAsia" w:ascii="宋体" w:hAnsi="宋体" w:eastAsia="宋体" w:cs="宋体"/>
          <w:spacing w:val="0"/>
          <w:sz w:val="28"/>
          <w:szCs w:val="28"/>
        </w:rPr>
        <w:t>本次安全现状评价的范围为</w:t>
      </w:r>
      <w:r>
        <w:rPr>
          <w:rFonts w:hint="eastAsia"/>
          <w:sz w:val="28"/>
          <w:szCs w:val="28"/>
        </w:rPr>
        <w:t>云南高机精密数控机床有限公司</w:t>
      </w:r>
      <w:r>
        <w:rPr>
          <w:rFonts w:hint="eastAsia" w:ascii="宋体" w:hAnsi="宋体" w:eastAsia="宋体" w:cs="宋体"/>
          <w:spacing w:val="0"/>
          <w:sz w:val="28"/>
          <w:szCs w:val="28"/>
        </w:rPr>
        <w:t>机床制造工艺技术</w:t>
      </w:r>
      <w:r>
        <w:rPr>
          <w:rFonts w:hint="eastAsia" w:ascii="宋体" w:hAnsi="宋体" w:eastAsia="宋体" w:cs="宋体"/>
          <w:spacing w:val="0"/>
          <w:sz w:val="28"/>
          <w:szCs w:val="28"/>
          <w:lang w:eastAsia="zh-CN"/>
        </w:rPr>
        <w:t>，</w:t>
      </w:r>
      <w:r>
        <w:rPr>
          <w:rFonts w:hint="eastAsia" w:ascii="宋体" w:hAnsi="宋体" w:eastAsia="宋体" w:cs="宋体"/>
          <w:spacing w:val="0"/>
          <w:sz w:val="28"/>
          <w:szCs w:val="28"/>
        </w:rPr>
        <w:t>装配、检测等工序组合而成的专业化生产线</w:t>
      </w:r>
      <w:r>
        <w:rPr>
          <w:rFonts w:hint="eastAsia" w:ascii="宋体" w:hAnsi="宋体" w:eastAsia="宋体" w:cs="宋体"/>
          <w:spacing w:val="0"/>
          <w:sz w:val="28"/>
          <w:szCs w:val="28"/>
          <w:lang w:val="en-US" w:eastAsia="zh-CN"/>
        </w:rPr>
        <w:t>项目的</w:t>
      </w:r>
      <w:r>
        <w:rPr>
          <w:rFonts w:hint="eastAsia" w:ascii="宋体" w:hAnsi="宋体" w:eastAsia="宋体" w:cs="宋体"/>
          <w:spacing w:val="0"/>
          <w:sz w:val="28"/>
          <w:szCs w:val="28"/>
        </w:rPr>
        <w:t>生产作业场所如区域位置、平面布置、主体工程、生产设备现状、安全卫生配套设施等的安全现状，以及该公司安全生产管理措施落实、安全生产管理机构、安全生产责任制和规章制度建设、从业人员培训、安全投入、工伤保险、职业危害防治与劳动保护、事故应急救援等，并依据国家有关法律、法规、标准、规范等提出合理可行的安全对策措施及建议。</w:t>
      </w:r>
    </w:p>
    <w:p w14:paraId="52056F47">
      <w:pPr>
        <w:keepNext w:val="0"/>
        <w:keepLines w:val="0"/>
        <w:pageBreakBefore w:val="0"/>
        <w:widowControl w:val="0"/>
        <w:kinsoku/>
        <w:wordWrap/>
        <w:overflowPunct/>
        <w:topLinePunct w:val="0"/>
        <w:autoSpaceDE/>
        <w:autoSpaceDN/>
        <w:bidi w:val="0"/>
        <w:adjustRightInd/>
        <w:snapToGrid/>
        <w:spacing w:line="600" w:lineRule="exact"/>
        <w:ind w:left="0" w:right="0" w:firstLine="556" w:firstLineChars="200"/>
        <w:textAlignment w:val="auto"/>
        <w:rPr>
          <w:rFonts w:ascii="宋体" w:hAnsi="宋体" w:eastAsia="宋体" w:cs="宋体"/>
          <w:sz w:val="28"/>
          <w:szCs w:val="28"/>
        </w:rPr>
      </w:pPr>
      <w:r>
        <w:rPr>
          <w:rFonts w:ascii="宋体" w:hAnsi="宋体" w:eastAsia="宋体" w:cs="宋体"/>
          <w:spacing w:val="-1"/>
          <w:sz w:val="28"/>
          <w:szCs w:val="28"/>
        </w:rPr>
        <w:t>本次安全现状评价</w:t>
      </w:r>
      <w:r>
        <w:rPr>
          <w:rFonts w:hint="eastAsia" w:hAnsi="宋体" w:cs="宋体"/>
          <w:spacing w:val="-1"/>
          <w:sz w:val="28"/>
          <w:szCs w:val="28"/>
          <w:lang w:eastAsia="zh-CN"/>
        </w:rPr>
        <w:t>，</w:t>
      </w:r>
      <w:r>
        <w:rPr>
          <w:rFonts w:ascii="宋体" w:hAnsi="宋体" w:eastAsia="宋体" w:cs="宋体"/>
          <w:spacing w:val="-1"/>
          <w:sz w:val="28"/>
          <w:szCs w:val="28"/>
        </w:rPr>
        <w:t>不包含：</w:t>
      </w:r>
    </w:p>
    <w:p w14:paraId="03396F3A">
      <w:pPr>
        <w:keepNext w:val="0"/>
        <w:keepLines w:val="0"/>
        <w:pageBreakBefore w:val="0"/>
        <w:widowControl w:val="0"/>
        <w:kinsoku/>
        <w:wordWrap/>
        <w:overflowPunct/>
        <w:topLinePunct w:val="0"/>
        <w:autoSpaceDE/>
        <w:autoSpaceDN/>
        <w:bidi w:val="0"/>
        <w:adjustRightInd/>
        <w:snapToGrid/>
        <w:spacing w:line="600" w:lineRule="exact"/>
        <w:ind w:left="0" w:right="0" w:firstLine="544" w:firstLineChars="200"/>
        <w:textAlignment w:val="auto"/>
        <w:rPr>
          <w:rFonts w:ascii="宋体" w:hAnsi="宋体" w:eastAsia="宋体" w:cs="宋体"/>
          <w:sz w:val="28"/>
          <w:szCs w:val="28"/>
        </w:rPr>
      </w:pPr>
      <w:r>
        <w:rPr>
          <w:rFonts w:ascii="宋体" w:hAnsi="宋体" w:eastAsia="宋体" w:cs="宋体"/>
          <w:spacing w:val="-4"/>
          <w:sz w:val="28"/>
          <w:szCs w:val="28"/>
        </w:rPr>
        <w:t>1)企业产品在生产现场外的运输作业、环境保护</w:t>
      </w:r>
      <w:r>
        <w:rPr>
          <w:rFonts w:ascii="宋体" w:hAnsi="宋体" w:eastAsia="宋体" w:cs="宋体"/>
          <w:spacing w:val="-5"/>
          <w:sz w:val="28"/>
          <w:szCs w:val="28"/>
        </w:rPr>
        <w:t>、地质灾害、消</w:t>
      </w:r>
      <w:r>
        <w:rPr>
          <w:rFonts w:ascii="宋体" w:hAnsi="宋体" w:eastAsia="宋体" w:cs="宋体"/>
          <w:spacing w:val="-14"/>
          <w:sz w:val="28"/>
          <w:szCs w:val="28"/>
        </w:rPr>
        <w:t>防；</w:t>
      </w:r>
    </w:p>
    <w:p w14:paraId="28458D65">
      <w:pPr>
        <w:keepNext w:val="0"/>
        <w:keepLines w:val="0"/>
        <w:pageBreakBefore w:val="0"/>
        <w:widowControl w:val="0"/>
        <w:kinsoku/>
        <w:wordWrap/>
        <w:overflowPunct/>
        <w:topLinePunct w:val="0"/>
        <w:autoSpaceDE/>
        <w:autoSpaceDN/>
        <w:bidi w:val="0"/>
        <w:adjustRightInd/>
        <w:snapToGrid/>
        <w:spacing w:line="600" w:lineRule="exact"/>
        <w:ind w:left="0" w:right="0" w:firstLine="552" w:firstLineChars="200"/>
        <w:textAlignment w:val="auto"/>
        <w:rPr>
          <w:rFonts w:ascii="宋体" w:hAnsi="宋体" w:eastAsia="宋体" w:cs="宋体"/>
          <w:sz w:val="28"/>
          <w:szCs w:val="28"/>
        </w:rPr>
      </w:pPr>
      <w:r>
        <w:rPr>
          <w:rFonts w:ascii="宋体" w:hAnsi="宋体" w:eastAsia="宋体" w:cs="宋体"/>
          <w:spacing w:val="-2"/>
          <w:sz w:val="28"/>
          <w:szCs w:val="28"/>
        </w:rPr>
        <w:t>2)企业产品的经营活动。</w:t>
      </w:r>
    </w:p>
    <w:p w14:paraId="7ECC4A87">
      <w:pPr>
        <w:keepNext w:val="0"/>
        <w:keepLines w:val="0"/>
        <w:pageBreakBefore w:val="0"/>
        <w:widowControl w:val="0"/>
        <w:kinsoku w:val="0"/>
        <w:wordWrap/>
        <w:overflowPunct/>
        <w:topLinePunct w:val="0"/>
        <w:autoSpaceDE/>
        <w:autoSpaceDN/>
        <w:bidi w:val="0"/>
        <w:adjustRightInd/>
        <w:snapToGrid/>
        <w:spacing w:line="600" w:lineRule="exact"/>
        <w:ind w:left="0" w:right="0" w:firstLine="560" w:firstLineChars="200"/>
        <w:jc w:val="both"/>
        <w:textAlignment w:val="auto"/>
        <w:rPr>
          <w:rFonts w:hint="eastAsia" w:ascii="宋体" w:hAnsi="宋体" w:eastAsia="宋体" w:cs="宋体"/>
          <w:spacing w:val="0"/>
          <w:sz w:val="28"/>
          <w:szCs w:val="28"/>
          <w:lang w:eastAsia="zh-CN"/>
        </w:rPr>
      </w:pPr>
      <w:r>
        <w:rPr>
          <w:rFonts w:ascii="宋体" w:hAnsi="宋体" w:eastAsia="宋体" w:cs="宋体"/>
          <w:spacing w:val="0"/>
          <w:sz w:val="28"/>
          <w:szCs w:val="28"/>
        </w:rPr>
        <w:t>涉及环境保护、职业卫生及职业病防治、消防及外部运输的问题不在本次安全评价范围内，但在评价过程中会有所提及。有关这些方面的问题，企业在建设和生产过程中应严格执行国家相关法律、法规、标准和规范要求</w:t>
      </w:r>
      <w:r>
        <w:rPr>
          <w:rFonts w:hint="eastAsia" w:hAnsi="宋体" w:cs="宋体"/>
          <w:spacing w:val="0"/>
          <w:sz w:val="28"/>
          <w:szCs w:val="28"/>
          <w:lang w:eastAsia="zh-CN"/>
        </w:rPr>
        <w:t>。</w:t>
      </w:r>
    </w:p>
    <w:p w14:paraId="0DF9E679">
      <w:pPr>
        <w:pStyle w:val="3"/>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eastAsia" w:ascii="宋体" w:hAnsi="宋体" w:eastAsia="宋体" w:cs="宋体"/>
          <w:b/>
          <w:bCs/>
          <w:color w:val="auto"/>
          <w:kern w:val="0"/>
          <w:sz w:val="30"/>
          <w:szCs w:val="30"/>
        </w:rPr>
      </w:pPr>
      <w:bookmarkStart w:id="59" w:name="_Toc20113"/>
      <w:bookmarkStart w:id="60" w:name="_Toc30414"/>
      <w:bookmarkStart w:id="61" w:name="_Toc28936"/>
      <w:bookmarkStart w:id="62" w:name="_Toc15799"/>
      <w:r>
        <w:rPr>
          <w:rFonts w:hint="eastAsia" w:ascii="宋体" w:hAnsi="宋体" w:eastAsia="宋体" w:cs="宋体"/>
          <w:b/>
          <w:bCs/>
          <w:color w:val="auto"/>
          <w:kern w:val="0"/>
          <w:sz w:val="30"/>
          <w:szCs w:val="30"/>
        </w:rPr>
        <w:t>1.</w:t>
      </w:r>
      <w:r>
        <w:rPr>
          <w:rFonts w:hint="eastAsia" w:ascii="宋体" w:hAnsi="宋体" w:eastAsia="宋体" w:cs="宋体"/>
          <w:b/>
          <w:bCs/>
          <w:color w:val="auto"/>
          <w:kern w:val="0"/>
          <w:sz w:val="30"/>
          <w:szCs w:val="30"/>
          <w:lang w:val="en-US" w:eastAsia="zh-CN"/>
        </w:rPr>
        <w:t>4</w:t>
      </w:r>
      <w:r>
        <w:rPr>
          <w:rFonts w:hint="eastAsia" w:ascii="宋体" w:hAnsi="宋体" w:eastAsia="宋体" w:cs="宋体"/>
          <w:b/>
          <w:bCs/>
          <w:color w:val="auto"/>
          <w:kern w:val="0"/>
          <w:sz w:val="30"/>
          <w:szCs w:val="30"/>
        </w:rPr>
        <w:t>评价程序</w:t>
      </w:r>
      <w:bookmarkEnd w:id="59"/>
      <w:bookmarkEnd w:id="60"/>
      <w:bookmarkEnd w:id="61"/>
      <w:bookmarkEnd w:id="62"/>
    </w:p>
    <w:p w14:paraId="56216C76">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本项目安全现状评价工作程序如图1-1所示。评价工作分为三个阶段：</w:t>
      </w:r>
    </w:p>
    <w:p w14:paraId="773237E0">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第一阶段为准备阶段，主要收集有关资料，进行初步的危险、危害因素识别，选择评价方法，编制评价大纲；</w:t>
      </w:r>
    </w:p>
    <w:p w14:paraId="74AF5EE5">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第二阶段为实施评价阶段，对工程安全情况进行类比调查，运用合适的评价方法进行定性及定量分析，提出安全对策措施；</w:t>
      </w:r>
    </w:p>
    <w:p w14:paraId="19DE5AFD">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第三阶段为安全评价报告的编制阶段，主要是汇总第二阶段所得到的各种资料、数据，综合分析提出结论与建议，完成本</w:t>
      </w:r>
      <w:r>
        <w:rPr>
          <w:rFonts w:hint="eastAsia"/>
          <w:color w:val="auto"/>
          <w:sz w:val="28"/>
          <w:szCs w:val="28"/>
        </w:rPr>
        <w:t>项目安全现状评价报告</w:t>
      </w:r>
      <w:r>
        <w:rPr>
          <w:rFonts w:hint="eastAsia" w:hAnsi="宋体"/>
          <w:color w:val="auto"/>
          <w:sz w:val="28"/>
          <w:szCs w:val="28"/>
        </w:rPr>
        <w:t>的编制。</w:t>
      </w:r>
    </w:p>
    <w:p w14:paraId="0CCA9DE3">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r>
        <w:rPr>
          <w:rFonts w:hint="eastAsia" w:hAnsi="宋体"/>
          <w:color w:val="auto"/>
          <w:sz w:val="28"/>
          <w:szCs w:val="28"/>
        </w:rPr>
        <w:t>安全评价的程序见下图所示：</w:t>
      </w:r>
    </w:p>
    <w:p w14:paraId="4664B759">
      <w:pPr>
        <w:keepNext w:val="0"/>
        <w:keepLines w:val="0"/>
        <w:pageBreakBefore w:val="0"/>
        <w:widowControl w:val="0"/>
        <w:kinsoku/>
        <w:wordWrap/>
        <w:overflowPunct/>
        <w:topLinePunct w:val="0"/>
        <w:autoSpaceDE/>
        <w:autoSpaceDN/>
        <w:bidi w:val="0"/>
        <w:adjustRightInd w:val="0"/>
        <w:snapToGrid w:val="0"/>
        <w:spacing w:line="600" w:lineRule="exact"/>
        <w:ind w:right="0" w:rightChars="0" w:firstLine="560" w:firstLineChars="200"/>
        <w:textAlignment w:val="auto"/>
        <w:rPr>
          <w:rFonts w:hint="eastAsia" w:hAnsi="宋体"/>
          <w:color w:val="auto"/>
          <w:sz w:val="28"/>
          <w:szCs w:val="28"/>
        </w:rPr>
      </w:pPr>
    </w:p>
    <w:p w14:paraId="167FD73E">
      <w:pPr>
        <w:pStyle w:val="9"/>
        <w:bidi w:val="0"/>
        <w:jc w:val="center"/>
        <w:rPr>
          <w:rFonts w:hint="eastAsia" w:hAnsi="宋体" w:cs="宋体"/>
          <w:color w:val="auto"/>
          <w:szCs w:val="28"/>
          <w:lang w:val="zh-CN"/>
        </w:rPr>
      </w:pPr>
      <w:r>
        <w:rPr>
          <w:rFonts w:hint="eastAsia" w:hAnsi="宋体" w:cs="宋体"/>
          <w:color w:val="auto"/>
          <w:szCs w:val="28"/>
          <w:lang w:val="zh-CN"/>
        </w:rPr>
        <w:object>
          <v:shape id="_x0000_i1025" o:spt="75" type="#_x0000_t75" style="height:304.55pt;width:174pt;" o:ole="t" filled="f" o:preferrelative="t" stroked="f" coordsize="21600,21600">
            <v:path/>
            <v:fill on="f" focussize="0,0"/>
            <v:stroke on="f"/>
            <v:imagedata r:id="rId23" cropleft="22079f" cropright="19837f" o:title=""/>
            <o:lock v:ext="edit" aspectratio="t"/>
            <w10:wrap type="none"/>
            <w10:anchorlock/>
          </v:shape>
          <o:OLEObject Type="Embed" ProgID="AutoCAD.Drawing.16" ShapeID="_x0000_i1025" DrawAspect="Content" ObjectID="_1468075725" r:id="rId22">
            <o:LockedField>false</o:LockedField>
          </o:OLEObject>
        </w:object>
      </w:r>
    </w:p>
    <w:p w14:paraId="788EC523">
      <w:pPr>
        <w:snapToGrid w:val="0"/>
        <w:spacing w:line="520" w:lineRule="exact"/>
        <w:jc w:val="center"/>
        <w:rPr>
          <w:rFonts w:hint="eastAsia" w:ascii="宋体" w:hAnsi="宋体" w:eastAsia="宋体" w:cs="宋体"/>
          <w:b/>
          <w:bCs/>
          <w:color w:val="auto"/>
        </w:rPr>
      </w:pPr>
      <w:r>
        <w:rPr>
          <w:rFonts w:hint="eastAsia" w:ascii="宋体" w:hAnsi="宋体" w:eastAsia="宋体" w:cs="宋体"/>
          <w:b/>
          <w:bCs/>
          <w:color w:val="auto"/>
        </w:rPr>
        <w:t>图1-1安全现状评价程序图</w:t>
      </w:r>
    </w:p>
    <w:p w14:paraId="04803C8C">
      <w:pPr>
        <w:pStyle w:val="3"/>
        <w:keepNext/>
        <w:keepLines/>
        <w:pageBreakBefore w:val="0"/>
        <w:widowControl w:val="0"/>
        <w:kinsoku/>
        <w:wordWrap/>
        <w:overflowPunct/>
        <w:topLinePunct w:val="0"/>
        <w:autoSpaceDE/>
        <w:autoSpaceDN/>
        <w:bidi w:val="0"/>
        <w:adjustRightInd/>
        <w:snapToGrid w:val="0"/>
        <w:spacing w:before="0" w:after="0" w:line="600" w:lineRule="exact"/>
        <w:textAlignment w:val="auto"/>
        <w:rPr>
          <w:rFonts w:hint="eastAsia" w:ascii="宋体" w:hAnsi="宋体" w:eastAsia="宋体" w:cs="宋体"/>
          <w:b/>
          <w:bCs/>
          <w:color w:val="auto"/>
          <w:kern w:val="0"/>
          <w:sz w:val="30"/>
          <w:szCs w:val="30"/>
        </w:rPr>
      </w:pPr>
      <w:bookmarkStart w:id="63" w:name="_Toc994"/>
      <w:bookmarkStart w:id="64" w:name="_Toc27264"/>
      <w:bookmarkStart w:id="65" w:name="_Toc335926134"/>
      <w:bookmarkStart w:id="66" w:name="_Toc26128"/>
      <w:bookmarkStart w:id="67" w:name="_Toc21050"/>
      <w:bookmarkStart w:id="68" w:name="_Toc16829"/>
      <w:r>
        <w:rPr>
          <w:rFonts w:hint="eastAsia" w:ascii="宋体" w:hAnsi="宋体" w:eastAsia="宋体" w:cs="宋体"/>
          <w:b/>
          <w:bCs/>
          <w:color w:val="auto"/>
          <w:kern w:val="0"/>
          <w:sz w:val="30"/>
          <w:szCs w:val="30"/>
        </w:rPr>
        <w:t>1.</w:t>
      </w:r>
      <w:r>
        <w:rPr>
          <w:rFonts w:hint="eastAsia" w:ascii="宋体" w:hAnsi="宋体" w:eastAsia="宋体" w:cs="宋体"/>
          <w:b/>
          <w:bCs/>
          <w:color w:val="auto"/>
          <w:kern w:val="0"/>
          <w:sz w:val="30"/>
          <w:szCs w:val="30"/>
          <w:lang w:val="en-US" w:eastAsia="zh-CN"/>
        </w:rPr>
        <w:t>5</w:t>
      </w:r>
      <w:r>
        <w:rPr>
          <w:rFonts w:hint="eastAsia" w:ascii="宋体" w:hAnsi="宋体" w:eastAsia="宋体" w:cs="宋体"/>
          <w:b/>
          <w:bCs/>
          <w:color w:val="auto"/>
          <w:kern w:val="0"/>
          <w:sz w:val="30"/>
          <w:szCs w:val="30"/>
        </w:rPr>
        <w:t>评价基准日</w:t>
      </w:r>
      <w:bookmarkEnd w:id="63"/>
      <w:bookmarkEnd w:id="64"/>
      <w:bookmarkEnd w:id="65"/>
      <w:bookmarkEnd w:id="66"/>
      <w:bookmarkEnd w:id="67"/>
      <w:bookmarkEnd w:id="68"/>
    </w:p>
    <w:p w14:paraId="09FC1FA5">
      <w:pPr>
        <w:keepNext/>
        <w:keepLines/>
        <w:pageBreakBefore w:val="0"/>
        <w:widowControl w:val="0"/>
        <w:kinsoku/>
        <w:wordWrap/>
        <w:overflowPunct/>
        <w:topLinePunct w:val="0"/>
        <w:autoSpaceDE/>
        <w:autoSpaceDN/>
        <w:bidi w:val="0"/>
        <w:adjustRightInd/>
        <w:snapToGrid w:val="0"/>
        <w:spacing w:before="0" w:after="0" w:line="600" w:lineRule="exact"/>
        <w:ind w:firstLine="560" w:firstLineChars="200"/>
        <w:textAlignment w:val="auto"/>
        <w:outlineLvl w:val="9"/>
        <w:rPr>
          <w:rFonts w:hint="eastAsia" w:ascii="宋体" w:hAnsi="宋体" w:eastAsia="宋体" w:cs="宋体"/>
          <w:b w:val="0"/>
          <w:bCs w:val="0"/>
          <w:color w:val="auto"/>
          <w:sz w:val="28"/>
          <w:highlight w:val="none"/>
        </w:rPr>
      </w:pPr>
      <w:r>
        <w:rPr>
          <w:rFonts w:hint="eastAsia" w:ascii="宋体" w:hAnsi="宋体" w:eastAsia="宋体" w:cs="宋体"/>
          <w:b w:val="0"/>
          <w:bCs w:val="0"/>
          <w:color w:val="auto"/>
          <w:sz w:val="28"/>
          <w:highlight w:val="none"/>
        </w:rPr>
        <w:t>评价基准日：20</w:t>
      </w:r>
      <w:r>
        <w:rPr>
          <w:rFonts w:hint="eastAsia" w:ascii="宋体" w:hAnsi="宋体" w:eastAsia="宋体" w:cs="宋体"/>
          <w:b w:val="0"/>
          <w:bCs w:val="0"/>
          <w:color w:val="auto"/>
          <w:sz w:val="28"/>
          <w:highlight w:val="none"/>
          <w:lang w:val="en-US" w:eastAsia="zh-CN"/>
        </w:rPr>
        <w:t>2</w:t>
      </w:r>
      <w:r>
        <w:rPr>
          <w:rFonts w:hint="eastAsia" w:hAnsi="宋体" w:cs="宋体"/>
          <w:b w:val="0"/>
          <w:bCs w:val="0"/>
          <w:color w:val="auto"/>
          <w:sz w:val="28"/>
          <w:highlight w:val="none"/>
          <w:lang w:val="en-US" w:eastAsia="zh-CN"/>
        </w:rPr>
        <w:t>5</w:t>
      </w:r>
      <w:r>
        <w:rPr>
          <w:rFonts w:hint="eastAsia" w:ascii="宋体" w:hAnsi="宋体" w:eastAsia="宋体" w:cs="宋体"/>
          <w:b w:val="0"/>
          <w:bCs w:val="0"/>
          <w:color w:val="auto"/>
          <w:sz w:val="28"/>
          <w:highlight w:val="none"/>
        </w:rPr>
        <w:t>年</w:t>
      </w:r>
      <w:r>
        <w:rPr>
          <w:rFonts w:hint="eastAsia" w:hAnsi="宋体" w:cs="宋体"/>
          <w:b w:val="0"/>
          <w:bCs w:val="0"/>
          <w:color w:val="auto"/>
          <w:sz w:val="28"/>
          <w:highlight w:val="none"/>
          <w:lang w:val="en-US" w:eastAsia="zh-CN"/>
        </w:rPr>
        <w:t>1</w:t>
      </w:r>
      <w:r>
        <w:rPr>
          <w:rFonts w:hint="eastAsia" w:ascii="宋体" w:hAnsi="宋体" w:eastAsia="宋体" w:cs="宋体"/>
          <w:b w:val="0"/>
          <w:bCs w:val="0"/>
          <w:color w:val="auto"/>
          <w:sz w:val="28"/>
          <w:highlight w:val="none"/>
          <w:lang w:val="en-US" w:eastAsia="zh-CN"/>
        </w:rPr>
        <w:t>月</w:t>
      </w:r>
      <w:r>
        <w:rPr>
          <w:rFonts w:hint="eastAsia" w:hAnsi="宋体" w:cs="宋体"/>
          <w:b w:val="0"/>
          <w:bCs w:val="0"/>
          <w:color w:val="auto"/>
          <w:sz w:val="28"/>
          <w:highlight w:val="none"/>
          <w:lang w:val="en-US" w:eastAsia="zh-CN"/>
        </w:rPr>
        <w:t>16</w:t>
      </w:r>
      <w:r>
        <w:rPr>
          <w:rFonts w:hint="eastAsia" w:ascii="宋体" w:hAnsi="宋体" w:eastAsia="宋体" w:cs="宋体"/>
          <w:b w:val="0"/>
          <w:bCs w:val="0"/>
          <w:color w:val="auto"/>
          <w:sz w:val="28"/>
          <w:highlight w:val="none"/>
        </w:rPr>
        <w:t>日。</w:t>
      </w:r>
    </w:p>
    <w:p w14:paraId="0775EBF6">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1"/>
        <w:rPr>
          <w:rFonts w:hint="eastAsia" w:ascii="宋体" w:hAnsi="宋体" w:eastAsia="宋体" w:cs="宋体"/>
          <w:sz w:val="30"/>
          <w:szCs w:val="30"/>
        </w:rPr>
      </w:pPr>
      <w:bookmarkStart w:id="69" w:name="_Toc3847"/>
      <w:bookmarkStart w:id="70" w:name="_Toc32231"/>
      <w:r>
        <w:rPr>
          <w:rFonts w:hint="eastAsia" w:ascii="宋体" w:hAnsi="宋体" w:eastAsia="宋体" w:cs="宋体"/>
          <w:b/>
          <w:bCs/>
          <w:spacing w:val="2"/>
          <w:sz w:val="30"/>
          <w:szCs w:val="30"/>
        </w:rPr>
        <w:t>1.</w:t>
      </w:r>
      <w:r>
        <w:rPr>
          <w:rFonts w:hint="eastAsia" w:ascii="宋体" w:hAnsi="宋体" w:eastAsia="宋体" w:cs="宋体"/>
          <w:b/>
          <w:bCs/>
          <w:spacing w:val="2"/>
          <w:sz w:val="30"/>
          <w:szCs w:val="30"/>
          <w:lang w:val="en-US" w:eastAsia="zh-CN"/>
        </w:rPr>
        <w:t>6</w:t>
      </w:r>
      <w:r>
        <w:rPr>
          <w:rFonts w:hint="eastAsia" w:ascii="宋体" w:hAnsi="宋体" w:eastAsia="宋体" w:cs="宋体"/>
          <w:b/>
          <w:bCs/>
          <w:spacing w:val="2"/>
          <w:sz w:val="30"/>
          <w:szCs w:val="30"/>
        </w:rPr>
        <w:t>评价报告使用权声明</w:t>
      </w:r>
      <w:bookmarkEnd w:id="69"/>
      <w:bookmarkEnd w:id="70"/>
    </w:p>
    <w:p w14:paraId="042C3342">
      <w:pPr>
        <w:keepNext w:val="0"/>
        <w:keepLines w:val="0"/>
        <w:pageBreakBefore w:val="0"/>
        <w:widowControl w:val="0"/>
        <w:kinsoku/>
        <w:wordWrap/>
        <w:overflowPunct/>
        <w:topLinePunct w:val="0"/>
        <w:autoSpaceDE/>
        <w:autoSpaceDN/>
        <w:bidi w:val="0"/>
        <w:adjustRightInd/>
        <w:snapToGrid/>
        <w:spacing w:line="600" w:lineRule="exact"/>
        <w:ind w:right="0" w:firstLine="560" w:firstLineChars="200"/>
        <w:jc w:val="both"/>
        <w:textAlignment w:val="auto"/>
        <w:rPr>
          <w:rFonts w:ascii="宋体" w:hAnsi="宋体" w:eastAsia="宋体" w:cs="宋体"/>
          <w:spacing w:val="0"/>
          <w:sz w:val="28"/>
          <w:szCs w:val="28"/>
        </w:rPr>
      </w:pPr>
      <w:r>
        <w:rPr>
          <w:rFonts w:ascii="宋体" w:hAnsi="宋体" w:eastAsia="宋体" w:cs="宋体"/>
          <w:spacing w:val="0"/>
          <w:sz w:val="28"/>
          <w:szCs w:val="28"/>
        </w:rPr>
        <w:t>本评价报告是受</w:t>
      </w:r>
      <w:r>
        <w:rPr>
          <w:rFonts w:hint="eastAsia"/>
          <w:sz w:val="28"/>
          <w:szCs w:val="28"/>
        </w:rPr>
        <w:t>云南高机精密数控机床有限公司</w:t>
      </w:r>
      <w:r>
        <w:rPr>
          <w:rFonts w:ascii="宋体" w:hAnsi="宋体" w:eastAsia="宋体" w:cs="宋体"/>
          <w:spacing w:val="0"/>
          <w:sz w:val="28"/>
          <w:szCs w:val="28"/>
        </w:rPr>
        <w:t>委托而编制的，专属委托方使用。除按规定上报各级管理部门外，昭通市鼎安科技有限公司不会将本评价报告内容向其它任何单位和个人提供，也不会将本评价报告的全部或部分内容在媒体上或以其它形式公开发表(安全评价技术研究成果除外)。</w:t>
      </w:r>
    </w:p>
    <w:p w14:paraId="155D8956">
      <w:pPr>
        <w:bidi w:val="0"/>
        <w:jc w:val="left"/>
        <w:rPr>
          <w:rFonts w:hint="eastAsia"/>
          <w:lang w:val="en-US" w:eastAsia="zh-CN"/>
        </w:rPr>
      </w:pPr>
    </w:p>
    <w:p w14:paraId="10ECF84C">
      <w:pPr>
        <w:bidi w:val="0"/>
        <w:jc w:val="left"/>
        <w:rPr>
          <w:rFonts w:hint="eastAsia"/>
          <w:lang w:val="en-US" w:eastAsia="zh-CN"/>
        </w:rPr>
      </w:pPr>
    </w:p>
    <w:p w14:paraId="21FD9E0C">
      <w:pPr>
        <w:bidi w:val="0"/>
        <w:jc w:val="left"/>
        <w:rPr>
          <w:rFonts w:hint="eastAsia"/>
          <w:lang w:val="en-US" w:eastAsia="zh-CN"/>
        </w:rPr>
      </w:pPr>
    </w:p>
    <w:p w14:paraId="74178612">
      <w:pPr>
        <w:bidi w:val="0"/>
        <w:jc w:val="left"/>
        <w:rPr>
          <w:rFonts w:hint="eastAsia"/>
          <w:lang w:val="en-US" w:eastAsia="zh-CN"/>
        </w:rPr>
      </w:pPr>
    </w:p>
    <w:p w14:paraId="5A8CD92D">
      <w:pPr>
        <w:bidi w:val="0"/>
        <w:jc w:val="left"/>
        <w:rPr>
          <w:rFonts w:hint="eastAsia"/>
          <w:lang w:val="en-US" w:eastAsia="zh-CN"/>
        </w:rPr>
      </w:pPr>
    </w:p>
    <w:p w14:paraId="4E7FE487">
      <w:pPr>
        <w:bidi w:val="0"/>
        <w:jc w:val="left"/>
        <w:rPr>
          <w:rFonts w:hint="eastAsia"/>
          <w:lang w:val="en-US" w:eastAsia="zh-CN"/>
        </w:rPr>
      </w:pPr>
    </w:p>
    <w:p w14:paraId="7F18E9EA">
      <w:pPr>
        <w:bidi w:val="0"/>
        <w:jc w:val="left"/>
        <w:rPr>
          <w:rFonts w:hint="eastAsia"/>
          <w:lang w:val="en-US" w:eastAsia="zh-CN"/>
        </w:rPr>
      </w:pPr>
    </w:p>
    <w:p w14:paraId="0C48F099">
      <w:pPr>
        <w:bidi w:val="0"/>
        <w:jc w:val="left"/>
        <w:rPr>
          <w:rFonts w:hint="eastAsia"/>
          <w:lang w:val="en-US" w:eastAsia="zh-CN"/>
        </w:rPr>
      </w:pPr>
    </w:p>
    <w:p w14:paraId="69488895">
      <w:pPr>
        <w:bidi w:val="0"/>
        <w:jc w:val="left"/>
        <w:rPr>
          <w:rFonts w:hint="eastAsia"/>
          <w:lang w:val="en-US" w:eastAsia="zh-CN"/>
        </w:rPr>
      </w:pPr>
    </w:p>
    <w:p w14:paraId="2D10DBD1">
      <w:pPr>
        <w:bidi w:val="0"/>
        <w:jc w:val="left"/>
        <w:rPr>
          <w:rFonts w:hint="eastAsia"/>
          <w:lang w:val="en-US" w:eastAsia="zh-CN"/>
        </w:rPr>
      </w:pPr>
    </w:p>
    <w:p w14:paraId="41CE6DCD">
      <w:pPr>
        <w:jc w:val="center"/>
        <w:outlineLvl w:val="0"/>
        <w:rPr>
          <w:rFonts w:ascii="宋体" w:hAnsi="宋体" w:eastAsia="宋体" w:cs="宋体"/>
          <w:b/>
          <w:bCs/>
          <w:sz w:val="36"/>
          <w:szCs w:val="36"/>
        </w:rPr>
      </w:pPr>
      <w:bookmarkStart w:id="71" w:name="_Toc11519"/>
      <w:bookmarkStart w:id="72" w:name="_Toc2020"/>
      <w:r>
        <w:rPr>
          <w:rFonts w:ascii="宋体" w:hAnsi="宋体" w:eastAsia="宋体" w:cs="宋体"/>
          <w:b/>
          <w:bCs/>
          <w:sz w:val="36"/>
          <w:szCs w:val="36"/>
        </w:rPr>
        <w:t>第</w:t>
      </w:r>
      <w:r>
        <w:rPr>
          <w:rFonts w:ascii="宋体" w:hAnsi="宋体" w:eastAsia="宋体" w:cs="宋体"/>
          <w:b/>
          <w:bCs/>
          <w:spacing w:val="-62"/>
          <w:sz w:val="36"/>
          <w:szCs w:val="36"/>
        </w:rPr>
        <w:t xml:space="preserve"> </w:t>
      </w:r>
      <w:r>
        <w:rPr>
          <w:rFonts w:ascii="宋体" w:hAnsi="宋体" w:eastAsia="宋体" w:cs="宋体"/>
          <w:b/>
          <w:bCs/>
          <w:sz w:val="36"/>
          <w:szCs w:val="36"/>
        </w:rPr>
        <w:t>2</w:t>
      </w:r>
      <w:r>
        <w:rPr>
          <w:rFonts w:ascii="宋体" w:hAnsi="宋体" w:eastAsia="宋体" w:cs="宋体"/>
          <w:b/>
          <w:bCs/>
          <w:spacing w:val="-57"/>
          <w:sz w:val="36"/>
          <w:szCs w:val="36"/>
        </w:rPr>
        <w:t xml:space="preserve"> </w:t>
      </w:r>
      <w:r>
        <w:rPr>
          <w:rFonts w:ascii="宋体" w:hAnsi="宋体" w:eastAsia="宋体" w:cs="宋体"/>
          <w:b/>
          <w:bCs/>
          <w:sz w:val="36"/>
          <w:szCs w:val="36"/>
        </w:rPr>
        <w:t>章 评价项目概况</w:t>
      </w:r>
      <w:bookmarkEnd w:id="71"/>
      <w:bookmarkEnd w:id="72"/>
    </w:p>
    <w:p w14:paraId="616EBCAC">
      <w:pPr>
        <w:pageBreakBefore w:val="0"/>
        <w:widowControl w:val="0"/>
        <w:kinsoku/>
        <w:wordWrap/>
        <w:overflowPunct/>
        <w:topLinePunct w:val="0"/>
        <w:autoSpaceDE/>
        <w:autoSpaceDN/>
        <w:bidi w:val="0"/>
        <w:adjustRightInd/>
        <w:snapToGrid/>
        <w:spacing w:line="600" w:lineRule="exact"/>
        <w:jc w:val="both"/>
        <w:textAlignment w:val="auto"/>
        <w:outlineLvl w:val="1"/>
        <w:rPr>
          <w:rFonts w:hint="eastAsia" w:ascii="宋体" w:hAnsi="宋体" w:eastAsia="宋体" w:cs="宋体"/>
          <w:sz w:val="30"/>
          <w:szCs w:val="30"/>
        </w:rPr>
      </w:pPr>
      <w:bookmarkStart w:id="73" w:name="_Toc4818"/>
      <w:bookmarkStart w:id="74" w:name="_Toc10474"/>
      <w:r>
        <w:rPr>
          <w:rFonts w:hint="eastAsia" w:ascii="宋体" w:hAnsi="宋体" w:eastAsia="宋体" w:cs="宋体"/>
          <w:b/>
          <w:bCs/>
          <w:sz w:val="30"/>
          <w:szCs w:val="30"/>
        </w:rPr>
        <w:t>2.1</w:t>
      </w:r>
      <w:r>
        <w:rPr>
          <w:rFonts w:hint="eastAsia" w:ascii="宋体" w:hAnsi="宋体" w:eastAsia="宋体" w:cs="宋体"/>
          <w:spacing w:val="-55"/>
          <w:sz w:val="30"/>
          <w:szCs w:val="30"/>
        </w:rPr>
        <w:t xml:space="preserve"> </w:t>
      </w:r>
      <w:r>
        <w:rPr>
          <w:rFonts w:hint="eastAsia" w:ascii="宋体" w:hAnsi="宋体" w:eastAsia="宋体" w:cs="宋体"/>
          <w:b/>
          <w:bCs/>
          <w:sz w:val="30"/>
          <w:szCs w:val="30"/>
        </w:rPr>
        <w:t>企业概况</w:t>
      </w:r>
      <w:bookmarkEnd w:id="73"/>
      <w:bookmarkEnd w:id="74"/>
    </w:p>
    <w:p w14:paraId="4B5CEC6C">
      <w:pPr>
        <w:pStyle w:val="4"/>
        <w:pageBreakBefore w:val="0"/>
        <w:widowControl w:val="0"/>
        <w:kinsoku/>
        <w:wordWrap/>
        <w:overflowPunct/>
        <w:topLinePunct w:val="0"/>
        <w:autoSpaceDE/>
        <w:autoSpaceDN/>
        <w:bidi w:val="0"/>
        <w:adjustRightInd/>
        <w:snapToGrid/>
        <w:spacing w:before="0" w:after="0" w:line="600" w:lineRule="exact"/>
        <w:ind w:left="0" w:leftChars="0" w:firstLine="0" w:firstLineChars="0"/>
        <w:textAlignment w:val="auto"/>
        <w:rPr>
          <w:rFonts w:hint="eastAsia" w:ascii="宋体" w:hAnsi="宋体" w:eastAsia="宋体" w:cs="宋体"/>
          <w:sz w:val="28"/>
          <w:szCs w:val="28"/>
        </w:rPr>
      </w:pPr>
      <w:bookmarkStart w:id="75" w:name="bookmark31"/>
      <w:bookmarkEnd w:id="75"/>
      <w:bookmarkStart w:id="76" w:name="_Toc26710"/>
      <w:bookmarkStart w:id="77" w:name="_Toc22931"/>
      <w:r>
        <w:rPr>
          <w:rFonts w:hint="eastAsia" w:ascii="宋体" w:hAnsi="宋体" w:eastAsia="宋体" w:cs="宋体"/>
          <w:b/>
          <w:bCs/>
          <w:spacing w:val="1"/>
          <w:sz w:val="28"/>
          <w:szCs w:val="28"/>
        </w:rPr>
        <w:t>2.1.1</w:t>
      </w:r>
      <w:r>
        <w:rPr>
          <w:rFonts w:hint="eastAsia" w:ascii="宋体" w:hAnsi="宋体" w:eastAsia="宋体" w:cs="宋体"/>
          <w:spacing w:val="-57"/>
          <w:sz w:val="28"/>
          <w:szCs w:val="28"/>
        </w:rPr>
        <w:t xml:space="preserve"> </w:t>
      </w:r>
      <w:r>
        <w:rPr>
          <w:rFonts w:hint="eastAsia" w:ascii="宋体" w:hAnsi="宋体" w:eastAsia="宋体" w:cs="宋体"/>
          <w:b/>
          <w:bCs/>
          <w:spacing w:val="1"/>
          <w:sz w:val="28"/>
          <w:szCs w:val="28"/>
        </w:rPr>
        <w:t>企业简介</w:t>
      </w:r>
      <w:bookmarkEnd w:id="76"/>
      <w:bookmarkEnd w:id="77"/>
    </w:p>
    <w:p w14:paraId="477D083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企业名称：云南高机精密数控机床有限公司</w:t>
      </w:r>
    </w:p>
    <w:p w14:paraId="45511B9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注册地址：云南省玉溪市红塔区研和街道红塔工业园区研和片区数控机床产业园</w:t>
      </w:r>
    </w:p>
    <w:p w14:paraId="0DF0545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法定代表人：</w:t>
      </w:r>
      <w:r>
        <w:rPr>
          <w:rFonts w:hint="eastAsia" w:ascii="宋体" w:hAnsi="宋体" w:eastAsia="宋体" w:cs="宋体"/>
          <w:sz w:val="28"/>
          <w:szCs w:val="28"/>
          <w:lang w:val="en-US" w:eastAsia="zh-CN"/>
        </w:rPr>
        <w:t>段春先</w:t>
      </w:r>
    </w:p>
    <w:p w14:paraId="5488783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统一社会信用代码：91530127MAC347969N</w:t>
      </w:r>
    </w:p>
    <w:p w14:paraId="4ACD6D47">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成立时间：</w:t>
      </w:r>
      <w:r>
        <w:rPr>
          <w:rFonts w:hint="eastAsia" w:ascii="宋体" w:hAnsi="宋体" w:eastAsia="宋体" w:cs="宋体"/>
          <w:sz w:val="28"/>
          <w:szCs w:val="28"/>
          <w:lang w:val="en-US" w:eastAsia="zh-CN"/>
        </w:rPr>
        <w:t>2022年11月25日</w:t>
      </w:r>
    </w:p>
    <w:p w14:paraId="39EE494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注册资本：</w:t>
      </w:r>
      <w:r>
        <w:rPr>
          <w:rFonts w:hint="eastAsia" w:ascii="宋体" w:hAnsi="宋体" w:eastAsia="宋体" w:cs="宋体"/>
          <w:sz w:val="28"/>
          <w:szCs w:val="28"/>
          <w:lang w:val="en-US" w:eastAsia="zh-CN"/>
        </w:rPr>
        <w:t>伍佰万元整</w:t>
      </w:r>
    </w:p>
    <w:p w14:paraId="6EFA38C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公司类型：有限责任公司（自然人投资或控股）</w:t>
      </w:r>
    </w:p>
    <w:p w14:paraId="631D41E4">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sz w:val="28"/>
          <w:szCs w:val="28"/>
        </w:rPr>
        <w:t>经营范围：</w:t>
      </w:r>
      <w:r>
        <w:rPr>
          <w:rFonts w:hint="eastAsia" w:ascii="宋体" w:hAnsi="宋体" w:eastAsia="宋体" w:cs="宋体"/>
          <w:i w:val="0"/>
          <w:iCs w:val="0"/>
          <w:caps w:val="0"/>
          <w:color w:val="333333"/>
          <w:spacing w:val="0"/>
          <w:sz w:val="28"/>
          <w:szCs w:val="28"/>
          <w:shd w:val="clear" w:fill="FFFFFF"/>
        </w:rPr>
        <w:t>一般项目：金属切削机床制造；金属成形机床制造；铸造机械制造；金属切割及焊接设备制造；机床功能部件及附件制造；金属加工机械制造；齿轮及齿轮减、变速箱制造；机械零件、零部件加工；通用设备制造（不含特种设备制造）（除依法须经批准的项目外，凭营业执照依法自主开展经营活动）。</w:t>
      </w:r>
    </w:p>
    <w:p w14:paraId="0E9EC133">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i w:val="0"/>
          <w:iCs w:val="0"/>
          <w:caps w:val="0"/>
          <w:color w:val="333333"/>
          <w:spacing w:val="0"/>
          <w:sz w:val="28"/>
          <w:szCs w:val="28"/>
          <w:shd w:val="clear" w:fill="FFFFFF"/>
        </w:rPr>
      </w:pPr>
      <w:r>
        <w:rPr>
          <w:rFonts w:hint="eastAsia"/>
          <w:sz w:val="28"/>
          <w:szCs w:val="28"/>
        </w:rPr>
        <w:t>云南高机精密数控机床有限公司，成立于2022年11月，位于云南省玉溪市研和数控工业园区，是一家生产及销售车床和定制机的专业厂家，主要产品有普通卧式车床、流量型数控车床、大孔数控车床、专用定制机床等四大类、四十多种型号，三百多种规格，公司产品齐全，种类繁多，是一家专业的机床全套解决方案供应商。拥有现代化标准厂房四千余平，先进的配套加工设施，资深的管理团队及雄厚的研发实力。</w:t>
      </w:r>
    </w:p>
    <w:p w14:paraId="0BBF9CC0">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i w:val="0"/>
          <w:iCs w:val="0"/>
          <w:caps w:val="0"/>
          <w:color w:val="333333"/>
          <w:spacing w:val="0"/>
          <w:sz w:val="28"/>
          <w:szCs w:val="28"/>
          <w:shd w:val="clear" w:fill="FFFFFF"/>
        </w:rPr>
      </w:pPr>
    </w:p>
    <w:p w14:paraId="50D91B28">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sz w:val="28"/>
          <w:szCs w:val="28"/>
        </w:rPr>
      </w:pPr>
      <w:bookmarkStart w:id="78" w:name="_Toc16453"/>
      <w:bookmarkStart w:id="79" w:name="_Toc23128"/>
      <w:r>
        <w:rPr>
          <w:rFonts w:hint="eastAsia" w:ascii="宋体" w:hAnsi="宋体" w:eastAsia="宋体" w:cs="宋体"/>
          <w:b/>
          <w:bCs/>
          <w:spacing w:val="2"/>
          <w:sz w:val="28"/>
          <w:szCs w:val="28"/>
        </w:rPr>
        <w:t>2.1.2</w:t>
      </w:r>
      <w:r>
        <w:rPr>
          <w:rFonts w:hint="eastAsia" w:ascii="宋体" w:hAnsi="宋体" w:eastAsia="宋体" w:cs="宋体"/>
          <w:spacing w:val="-55"/>
          <w:sz w:val="28"/>
          <w:szCs w:val="28"/>
        </w:rPr>
        <w:t xml:space="preserve"> </w:t>
      </w:r>
      <w:r>
        <w:rPr>
          <w:rFonts w:hint="eastAsia" w:ascii="宋体" w:hAnsi="宋体" w:eastAsia="宋体" w:cs="宋体"/>
          <w:b/>
          <w:bCs/>
          <w:spacing w:val="2"/>
          <w:sz w:val="28"/>
          <w:szCs w:val="28"/>
        </w:rPr>
        <w:t>项目概况</w:t>
      </w:r>
      <w:bookmarkEnd w:id="78"/>
      <w:bookmarkEnd w:id="79"/>
    </w:p>
    <w:p w14:paraId="2861919E">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eastAsia" w:ascii="宋体" w:hAnsi="宋体" w:eastAsia="宋体" w:cs="宋体"/>
          <w:spacing w:val="0"/>
          <w:sz w:val="28"/>
          <w:szCs w:val="28"/>
        </w:rPr>
      </w:pPr>
      <w:r>
        <w:rPr>
          <w:rFonts w:hint="eastAsia" w:ascii="宋体" w:hAnsi="宋体" w:eastAsia="宋体" w:cs="宋体"/>
          <w:kern w:val="2"/>
          <w:sz w:val="28"/>
          <w:szCs w:val="28"/>
          <w:highlight w:val="none"/>
          <w:lang w:val="en-US" w:eastAsia="zh-CN" w:bidi="ar-SA"/>
        </w:rPr>
        <w:t>该项目位于玉溪国家高新技术产业开发区数控机床产业园，</w:t>
      </w:r>
      <w:r>
        <w:rPr>
          <w:rFonts w:hint="eastAsia" w:ascii="宋体" w:hAnsi="宋体" w:eastAsia="宋体" w:cs="宋体"/>
          <w:color w:val="auto"/>
          <w:sz w:val="28"/>
          <w:szCs w:val="28"/>
        </w:rPr>
        <w:t>总平面布置整个厂区呈矩形，厂区大门位于</w:t>
      </w:r>
      <w:r>
        <w:rPr>
          <w:rFonts w:hint="eastAsia" w:ascii="宋体" w:hAnsi="宋体" w:eastAsia="宋体" w:cs="宋体"/>
          <w:color w:val="auto"/>
          <w:sz w:val="28"/>
          <w:szCs w:val="28"/>
          <w:lang w:eastAsia="zh-CN"/>
        </w:rPr>
        <w:t>厂区</w:t>
      </w:r>
      <w:r>
        <w:rPr>
          <w:rFonts w:hint="eastAsia" w:ascii="宋体" w:hAnsi="宋体" w:eastAsia="宋体" w:cs="宋体"/>
          <w:color w:val="auto"/>
          <w:sz w:val="28"/>
          <w:szCs w:val="28"/>
          <w:lang w:val="en-US" w:eastAsia="zh-CN"/>
        </w:rPr>
        <w:t>北侧</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主要构筑物包括</w:t>
      </w:r>
      <w:r>
        <w:rPr>
          <w:rFonts w:hint="eastAsia" w:ascii="宋体" w:hAnsi="宋体" w:eastAsia="宋体" w:cs="宋体"/>
          <w:color w:val="auto"/>
          <w:sz w:val="28"/>
          <w:szCs w:val="28"/>
          <w:lang w:val="en-US" w:eastAsia="zh-CN"/>
        </w:rPr>
        <w:t>生产组装</w:t>
      </w:r>
      <w:r>
        <w:rPr>
          <w:rFonts w:hint="eastAsia" w:ascii="宋体" w:hAnsi="宋体" w:eastAsia="宋体" w:cs="宋体"/>
          <w:color w:val="auto"/>
          <w:sz w:val="28"/>
          <w:szCs w:val="28"/>
        </w:rPr>
        <w:t>车间、车间办公室等</w:t>
      </w:r>
      <w:r>
        <w:rPr>
          <w:rFonts w:hint="eastAsia" w:ascii="宋体" w:hAnsi="宋体" w:eastAsia="宋体" w:cs="宋体"/>
          <w:color w:val="auto"/>
          <w:sz w:val="28"/>
          <w:szCs w:val="28"/>
          <w:lang w:eastAsia="zh-CN"/>
        </w:rPr>
        <w:t>。厂区中部设置有消防通道（消防通道路宽均≥4m），中部主干道与厂外道路相通，应急救援车辆、消防车辆能通达各主要危险源点，可以满足消防及应急救援的需要。</w:t>
      </w:r>
      <w:r>
        <w:rPr>
          <w:rFonts w:hint="eastAsia" w:ascii="宋体" w:hAnsi="宋体" w:eastAsia="宋体" w:cs="宋体"/>
          <w:color w:val="0000FF"/>
          <w:spacing w:val="0"/>
          <w:sz w:val="28"/>
          <w:szCs w:val="28"/>
          <w:shd w:val="clear" w:color="FFFFFF" w:fill="D9D9D9"/>
        </w:rPr>
        <w:t>厂区总平面布置</w:t>
      </w:r>
      <w:r>
        <w:rPr>
          <w:rFonts w:hint="eastAsia" w:hAnsi="宋体" w:cs="宋体"/>
          <w:color w:val="0000FF"/>
          <w:spacing w:val="0"/>
          <w:sz w:val="28"/>
          <w:szCs w:val="28"/>
          <w:shd w:val="clear" w:color="FFFFFF" w:fill="D9D9D9"/>
          <w:lang w:val="en-US" w:eastAsia="zh-CN"/>
        </w:rPr>
        <w:t>示意</w:t>
      </w:r>
      <w:r>
        <w:rPr>
          <w:rFonts w:hint="eastAsia" w:ascii="宋体" w:hAnsi="宋体" w:eastAsia="宋体" w:cs="宋体"/>
          <w:color w:val="0000FF"/>
          <w:spacing w:val="0"/>
          <w:sz w:val="28"/>
          <w:szCs w:val="28"/>
          <w:shd w:val="clear" w:color="FFFFFF" w:fill="D9D9D9"/>
        </w:rPr>
        <w:t>图见</w:t>
      </w:r>
      <w:r>
        <w:rPr>
          <w:rFonts w:hint="eastAsia" w:ascii="宋体" w:hAnsi="宋体" w:eastAsia="宋体" w:cs="宋体"/>
          <w:color w:val="0000FF"/>
          <w:spacing w:val="0"/>
          <w:sz w:val="28"/>
          <w:szCs w:val="28"/>
          <w:shd w:val="clear" w:color="FFFFFF" w:fill="D9D9D9"/>
          <w:lang w:val="en-US" w:eastAsia="zh-CN"/>
        </w:rPr>
        <w:t>图</w:t>
      </w:r>
      <w:r>
        <w:rPr>
          <w:rFonts w:hint="eastAsia" w:ascii="宋体" w:hAnsi="宋体" w:eastAsia="宋体" w:cs="宋体"/>
          <w:color w:val="0000FF"/>
          <w:spacing w:val="0"/>
          <w:sz w:val="28"/>
          <w:szCs w:val="28"/>
          <w:shd w:val="clear" w:color="FFFFFF" w:fill="D9D9D9"/>
        </w:rPr>
        <w:t>2—1</w:t>
      </w:r>
      <w:r>
        <w:rPr>
          <w:rFonts w:hint="eastAsia" w:ascii="宋体" w:hAnsi="宋体" w:eastAsia="宋体" w:cs="宋体"/>
          <w:spacing w:val="0"/>
          <w:sz w:val="28"/>
          <w:szCs w:val="28"/>
        </w:rPr>
        <w:t>。</w:t>
      </w:r>
    </w:p>
    <w:p w14:paraId="64CED160">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eastAsia" w:ascii="宋体" w:hAnsi="宋体" w:eastAsia="宋体" w:cs="宋体"/>
          <w:color w:val="auto"/>
          <w:sz w:val="28"/>
          <w:szCs w:val="28"/>
          <w:lang w:eastAsia="zh-CN"/>
        </w:rPr>
      </w:pPr>
      <w:r>
        <w:drawing>
          <wp:anchor distT="0" distB="0" distL="114935" distR="114935" simplePos="0" relativeHeight="251660288" behindDoc="1" locked="0" layoutInCell="1" allowOverlap="1">
            <wp:simplePos x="0" y="0"/>
            <wp:positionH relativeFrom="column">
              <wp:align>center</wp:align>
            </wp:positionH>
            <wp:positionV relativeFrom="paragraph">
              <wp:posOffset>154940</wp:posOffset>
            </wp:positionV>
            <wp:extent cx="5066030" cy="5934710"/>
            <wp:effectExtent l="0" t="0" r="8890" b="0"/>
            <wp:wrapTight wrapText="bothSides">
              <wp:wrapPolygon>
                <wp:start x="0" y="0"/>
                <wp:lineTo x="0" y="21521"/>
                <wp:lineTo x="21508" y="21521"/>
                <wp:lineTo x="21508" y="0"/>
                <wp:lineTo x="0" y="0"/>
              </wp:wrapPolygon>
            </wp:wrapTight>
            <wp:docPr id="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3"/>
                    <pic:cNvPicPr>
                      <a:picLocks noChangeAspect="1"/>
                    </pic:cNvPicPr>
                  </pic:nvPicPr>
                  <pic:blipFill>
                    <a:blip r:embed="rId24"/>
                    <a:stretch>
                      <a:fillRect/>
                    </a:stretch>
                  </pic:blipFill>
                  <pic:spPr>
                    <a:xfrm>
                      <a:off x="0" y="0"/>
                      <a:ext cx="5066030" cy="5934710"/>
                    </a:xfrm>
                    <a:prstGeom prst="rect">
                      <a:avLst/>
                    </a:prstGeom>
                    <a:noFill/>
                    <a:ln>
                      <a:noFill/>
                    </a:ln>
                  </pic:spPr>
                </pic:pic>
              </a:graphicData>
            </a:graphic>
          </wp:anchor>
        </w:drawing>
      </w:r>
    </w:p>
    <w:p w14:paraId="2B73F03B">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2814E80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1BDB4B57">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0B7C6FA7">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48EA2186">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5C625F9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1D83356B">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395464CF">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7C20325C">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57DE8F48">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6149FC9A">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0DA07027">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56E374EA">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4AB67BD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50F69AF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24A204E9">
      <w:pPr>
        <w:pStyle w:val="15"/>
        <w:ind w:left="0" w:leftChars="0" w:firstLine="0" w:firstLineChars="0"/>
        <w:jc w:val="center"/>
        <w:rPr>
          <w:rFonts w:hint="eastAsia" w:ascii="宋体" w:hAnsi="宋体" w:eastAsia="宋体" w:cs="宋体"/>
          <w:b/>
          <w:bCs/>
          <w:color w:val="auto"/>
          <w:sz w:val="24"/>
          <w:szCs w:val="24"/>
        </w:rPr>
      </w:pPr>
      <w:r>
        <w:rPr>
          <w:rFonts w:hint="eastAsia" w:ascii="宋体" w:hAnsi="宋体" w:eastAsia="宋体" w:cs="宋体"/>
          <w:b/>
          <w:bCs/>
          <w:color w:val="auto"/>
          <w:sz w:val="24"/>
          <w:szCs w:val="24"/>
        </w:rPr>
        <w:t>图2-1</w:t>
      </w:r>
      <w:r>
        <w:rPr>
          <w:rFonts w:hint="eastAsia" w:ascii="宋体" w:hAnsi="宋体" w:eastAsia="宋体" w:cs="宋体"/>
          <w:b/>
          <w:bCs/>
          <w:color w:val="auto"/>
          <w:sz w:val="24"/>
          <w:szCs w:val="24"/>
          <w:lang w:val="en-US" w:eastAsia="zh-CN"/>
        </w:rPr>
        <w:t>平面布置</w:t>
      </w:r>
      <w:r>
        <w:rPr>
          <w:rFonts w:hint="eastAsia" w:ascii="宋体" w:hAnsi="宋体" w:eastAsia="宋体" w:cs="宋体"/>
          <w:b/>
          <w:bCs/>
          <w:color w:val="auto"/>
          <w:sz w:val="24"/>
          <w:szCs w:val="24"/>
        </w:rPr>
        <w:t>图</w:t>
      </w:r>
    </w:p>
    <w:p w14:paraId="0CBB69A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54D9F5A5">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1"/>
        <w:rPr>
          <w:rFonts w:hint="eastAsia" w:ascii="宋体" w:hAnsi="宋体" w:eastAsia="宋体" w:cs="宋体"/>
          <w:sz w:val="28"/>
          <w:szCs w:val="28"/>
        </w:rPr>
      </w:pPr>
      <w:bookmarkStart w:id="80" w:name="_Toc9912"/>
      <w:bookmarkStart w:id="81" w:name="_Toc30204"/>
      <w:r>
        <w:rPr>
          <w:rFonts w:hint="eastAsia" w:ascii="宋体" w:hAnsi="宋体" w:eastAsia="宋体" w:cs="宋体"/>
          <w:b/>
          <w:bCs/>
          <w:spacing w:val="-4"/>
          <w:sz w:val="30"/>
          <w:szCs w:val="30"/>
        </w:rPr>
        <w:t>2.2</w:t>
      </w:r>
      <w:r>
        <w:rPr>
          <w:rFonts w:hint="eastAsia" w:ascii="宋体" w:hAnsi="宋体" w:eastAsia="宋体" w:cs="宋体"/>
          <w:spacing w:val="-4"/>
          <w:sz w:val="30"/>
          <w:szCs w:val="30"/>
        </w:rPr>
        <w:t xml:space="preserve"> </w:t>
      </w:r>
      <w:r>
        <w:rPr>
          <w:rFonts w:hint="eastAsia" w:ascii="宋体" w:hAnsi="宋体" w:eastAsia="宋体" w:cs="宋体"/>
          <w:b/>
          <w:bCs/>
          <w:spacing w:val="-4"/>
          <w:sz w:val="30"/>
          <w:szCs w:val="30"/>
        </w:rPr>
        <w:t>自然环境简况</w:t>
      </w:r>
      <w:bookmarkEnd w:id="80"/>
      <w:bookmarkEnd w:id="81"/>
    </w:p>
    <w:p w14:paraId="428E2EF5">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sz w:val="28"/>
          <w:szCs w:val="28"/>
        </w:rPr>
      </w:pPr>
      <w:bookmarkStart w:id="82" w:name="_Toc393"/>
      <w:bookmarkStart w:id="83" w:name="_Toc1710"/>
      <w:r>
        <w:rPr>
          <w:rFonts w:hint="eastAsia" w:ascii="宋体" w:hAnsi="宋体" w:eastAsia="宋体" w:cs="宋体"/>
          <w:b/>
          <w:bCs/>
          <w:spacing w:val="5"/>
          <w:sz w:val="28"/>
          <w:szCs w:val="28"/>
        </w:rPr>
        <w:t>2.2.1</w:t>
      </w:r>
      <w:r>
        <w:rPr>
          <w:rFonts w:hint="eastAsia" w:ascii="宋体" w:hAnsi="宋体" w:eastAsia="宋体" w:cs="宋体"/>
          <w:spacing w:val="5"/>
          <w:sz w:val="28"/>
          <w:szCs w:val="28"/>
        </w:rPr>
        <w:t xml:space="preserve"> </w:t>
      </w:r>
      <w:r>
        <w:rPr>
          <w:rFonts w:hint="eastAsia" w:ascii="宋体" w:hAnsi="宋体" w:eastAsia="宋体" w:cs="宋体"/>
          <w:b/>
          <w:bCs/>
          <w:spacing w:val="5"/>
          <w:sz w:val="28"/>
          <w:szCs w:val="28"/>
        </w:rPr>
        <w:t>厂区位置与周边环境情况</w:t>
      </w:r>
      <w:bookmarkEnd w:id="82"/>
      <w:bookmarkEnd w:id="83"/>
    </w:p>
    <w:p w14:paraId="684F5A64">
      <w:pPr>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560" w:firstLineChars="200"/>
        <w:jc w:val="both"/>
        <w:textAlignment w:val="auto"/>
        <w:rPr>
          <w:rFonts w:hint="default" w:ascii="宋体" w:hAnsi="宋体" w:eastAsia="宋体" w:cs="宋体"/>
          <w:sz w:val="28"/>
          <w:szCs w:val="28"/>
          <w:lang w:val="en-US" w:eastAsia="zh-CN"/>
        </w:rPr>
      </w:pPr>
      <w:r>
        <w:rPr>
          <w:rFonts w:hint="eastAsia" w:ascii="宋体" w:hAnsi="宋体" w:eastAsia="宋体" w:cs="宋体"/>
          <w:sz w:val="28"/>
          <w:szCs w:val="28"/>
          <w:lang w:val="en-US" w:eastAsia="zh-CN"/>
        </w:rPr>
        <w:t>玉溪市，云南省辖地级市，位于云南省中部，地理坐标处于北纬23°19′～24°53′、 东经101°16′～103°09′6之间。北接省会昆明市，西南连普洱市，东南邻红河哈尼族彝族自治州，西北靠楚雄彝族自治州，全市面积约1.5万平方公里。</w:t>
      </w:r>
      <w:r>
        <w:rPr>
          <w:rFonts w:hint="eastAsia" w:ascii="宋体" w:hAnsi="宋体" w:eastAsia="宋体" w:cs="宋体"/>
          <w:sz w:val="28"/>
          <w:szCs w:val="28"/>
          <w:highlight w:val="none"/>
        </w:rPr>
        <w:t>研和街道，隶属于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"https://baike.baidu.com/item/%E4%BA%91%E5%8D%97%E7%9C%81/18664752?fromModule=lemma_inlink"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云南省</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"https://baike.baidu.com/item/%E7%8E%89%E6%BA%AA%E5%B8%82/744471?fromModule=lemma_inlink"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玉溪市</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红塔区，地处</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"https://baike.baidu.com/item/%E7%BA%A2%E5%A1%94%E5%8C%BA/1166754?fromModule=lemma_inlink"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红塔区</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南部，东与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"https://baike.baidu.com/item/%E9%80%9A%E6%B5%B7%E5%8E%BF/5368305?fromModule=lemma_inlink"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通海县</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相连，南与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"https://baike.baidu.com/item/%E5%B3%A8%E5%B1%B1%E5%BD%9D%E6%97%8F%E8%87%AA%E6%B2%BB%E5%8E%BF/10538635?fromModule=lemma_inlink"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峨山彝族自治县</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为邻，西倚</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"https://baike.baidu.com/item/%E5%A4%A7%E8%90%A5%E8%A1%97%E8%A1%97%E9%81%93/12017092?fromModule=lemma_inlink"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大营街街道</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，北与</w:t>
      </w:r>
      <w:r>
        <w:rPr>
          <w:rFonts w:hint="eastAsia" w:ascii="宋体" w:hAnsi="宋体" w:eastAsia="宋体" w:cs="宋体"/>
          <w:sz w:val="28"/>
          <w:szCs w:val="28"/>
          <w:highlight w:val="none"/>
        </w:rPr>
        <w:fldChar w:fldCharType="begin"/>
      </w:r>
      <w:r>
        <w:rPr>
          <w:rFonts w:hint="eastAsia" w:ascii="宋体" w:hAnsi="宋体" w:eastAsia="宋体" w:cs="宋体"/>
          <w:sz w:val="28"/>
          <w:szCs w:val="28"/>
          <w:highlight w:val="none"/>
        </w:rPr>
        <w:instrText xml:space="preserve"> HYPERLINK "https://baike.baidu.com/item/%E9%AB%98%E4%BB%93%E8%A1%97%E9%81%93/12017145?fromModule=lemma_inlink" \t "https://baike.baidu.com/item/%E7%A0%94%E5%92%8C%E8%A1%97%E9%81%93/_blank" </w:instrText>
      </w:r>
      <w:r>
        <w:rPr>
          <w:rFonts w:hint="eastAsia" w:ascii="宋体" w:hAnsi="宋体" w:eastAsia="宋体" w:cs="宋体"/>
          <w:sz w:val="28"/>
          <w:szCs w:val="28"/>
          <w:highlight w:val="none"/>
        </w:rPr>
        <w:fldChar w:fldCharType="separate"/>
      </w:r>
      <w:r>
        <w:rPr>
          <w:rFonts w:hint="eastAsia" w:ascii="宋体" w:hAnsi="宋体" w:eastAsia="宋体" w:cs="宋体"/>
          <w:sz w:val="28"/>
          <w:szCs w:val="28"/>
          <w:highlight w:val="none"/>
        </w:rPr>
        <w:t>高仓街道</w:t>
      </w:r>
      <w:r>
        <w:rPr>
          <w:rFonts w:hint="eastAsia" w:ascii="宋体" w:hAnsi="宋体" w:eastAsia="宋体" w:cs="宋体"/>
          <w:sz w:val="28"/>
          <w:szCs w:val="28"/>
          <w:highlight w:val="none"/>
        </w:rPr>
        <w:fldChar w:fldCharType="end"/>
      </w:r>
      <w:r>
        <w:rPr>
          <w:rFonts w:hint="eastAsia" w:ascii="宋体" w:hAnsi="宋体" w:eastAsia="宋体" w:cs="宋体"/>
          <w:sz w:val="28"/>
          <w:szCs w:val="28"/>
          <w:highlight w:val="none"/>
        </w:rPr>
        <w:t>接壤，研和街道办事处北距玉溪市区15千米，北距省会昆明100余千米，区域总面积131.63平方千米</w:t>
      </w:r>
      <w:r>
        <w:rPr>
          <w:rFonts w:hint="eastAsia" w:hAnsi="宋体" w:cs="宋体"/>
          <w:sz w:val="28"/>
          <w:szCs w:val="28"/>
          <w:highlight w:val="none"/>
          <w:lang w:eastAsia="zh-CN"/>
        </w:rPr>
        <w:t>，</w:t>
      </w:r>
      <w:r>
        <w:rPr>
          <w:rFonts w:hint="eastAsia" w:hAnsi="宋体" w:cs="宋体"/>
          <w:sz w:val="28"/>
          <w:szCs w:val="28"/>
          <w:highlight w:val="none"/>
          <w:lang w:val="en-US" w:eastAsia="zh-CN"/>
        </w:rPr>
        <w:t>地理位置图详见附件23。</w:t>
      </w:r>
    </w:p>
    <w:p w14:paraId="2A1DF1E7">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b/>
          <w:bCs/>
          <w:spacing w:val="5"/>
          <w:sz w:val="28"/>
          <w:szCs w:val="28"/>
        </w:rPr>
        <w:t>2.2.</w:t>
      </w:r>
      <w:r>
        <w:rPr>
          <w:rFonts w:hint="eastAsia" w:hAnsi="宋体" w:cs="宋体"/>
          <w:b/>
          <w:bCs/>
          <w:spacing w:val="5"/>
          <w:sz w:val="28"/>
          <w:szCs w:val="28"/>
          <w:lang w:val="en-US" w:eastAsia="zh-CN"/>
        </w:rPr>
        <w:t>2</w:t>
      </w:r>
      <w:r>
        <w:rPr>
          <w:rFonts w:hint="eastAsia" w:ascii="宋体" w:hAnsi="宋体" w:eastAsia="宋体" w:cs="宋体"/>
          <w:b/>
          <w:bCs/>
          <w:spacing w:val="5"/>
          <w:sz w:val="28"/>
          <w:szCs w:val="28"/>
        </w:rPr>
        <w:t>周边环境情况</w:t>
      </w:r>
    </w:p>
    <w:p w14:paraId="1F91315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kern w:val="2"/>
          <w:sz w:val="28"/>
          <w:szCs w:val="28"/>
          <w:highlight w:val="none"/>
          <w:lang w:val="en-US" w:eastAsia="zh-CN" w:bidi="ar-SA"/>
        </w:rPr>
      </w:pPr>
      <w:r>
        <w:rPr>
          <w:rFonts w:hint="eastAsia" w:ascii="宋体" w:hAnsi="宋体" w:eastAsia="宋体" w:cs="宋体"/>
          <w:sz w:val="28"/>
          <w:szCs w:val="28"/>
          <w:lang w:eastAsia="zh-CN"/>
        </w:rPr>
        <w:t>云南高机精密数控机床有限公司</w:t>
      </w:r>
      <w:r>
        <w:rPr>
          <w:rFonts w:hint="eastAsia" w:ascii="宋体" w:hAnsi="宋体" w:eastAsia="宋体" w:cs="宋体"/>
          <w:sz w:val="28"/>
          <w:szCs w:val="28"/>
        </w:rPr>
        <w:t>厂址位于玉溪数控产业园，为租赁用地及租赁标准化厂房</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项目厂房东侧隔壁：中国机械总院玉溪数控机床检测中心，厂房北侧隔壁：中国机械总院云南分院机床生产基地；东北角：中国机械总院云南分院机床生产基地；西侧：鼎泰路；鼎泰路以西：云南台正精密机械有限公司，西北角：云南友丰精密数控机床有限公司；南边：云南正成工精密机械有限公司。</w:t>
      </w:r>
      <w:r>
        <w:rPr>
          <w:rFonts w:hint="eastAsia" w:ascii="宋体" w:hAnsi="宋体" w:eastAsia="宋体" w:cs="宋体"/>
          <w:kern w:val="2"/>
          <w:sz w:val="28"/>
          <w:szCs w:val="28"/>
          <w:highlight w:val="none"/>
          <w:lang w:val="en-US" w:eastAsia="zh-CN" w:bidi="ar-SA"/>
        </w:rPr>
        <w:t>厂区位置周边关系见图2-2所示。</w:t>
      </w:r>
    </w:p>
    <w:p w14:paraId="1A3726A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372A5C6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322F035C">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1CECA4DE">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5140CED0">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367AACAF">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0B397F1B">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2D8C546B">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i w:val="0"/>
          <w:iCs w:val="0"/>
          <w:caps w:val="0"/>
          <w:color w:val="333333"/>
          <w:spacing w:val="0"/>
          <w:sz w:val="28"/>
          <w:szCs w:val="28"/>
          <w:shd w:val="clear" w:fill="FFFFFF"/>
          <w:lang w:eastAsia="zh-CN"/>
        </w:rPr>
      </w:pPr>
      <w:r>
        <w:rPr>
          <w:rFonts w:hint="eastAsia" w:ascii="宋体" w:hAnsi="宋体" w:eastAsia="宋体" w:cs="宋体"/>
          <w:b/>
          <w:bCs/>
          <w:color w:val="auto"/>
          <w:sz w:val="24"/>
          <w:szCs w:val="24"/>
        </w:rPr>
        <w:t>图2-</w:t>
      </w:r>
      <w:r>
        <w:rPr>
          <w:rFonts w:hint="eastAsia" w:ascii="宋体" w:hAnsi="宋体" w:eastAsia="宋体" w:cs="宋体"/>
          <w:b/>
          <w:bCs/>
          <w:color w:val="auto"/>
          <w:sz w:val="24"/>
          <w:szCs w:val="24"/>
          <w:lang w:val="en-US" w:eastAsia="zh-CN"/>
        </w:rPr>
        <w:t>2厂区位置、周边关系</w:t>
      </w:r>
      <w:r>
        <w:rPr>
          <w:rFonts w:hint="eastAsia" w:ascii="宋体" w:hAnsi="宋体" w:eastAsia="宋体" w:cs="宋体"/>
          <w:b/>
          <w:bCs/>
          <w:color w:val="auto"/>
          <w:sz w:val="24"/>
          <w:szCs w:val="24"/>
        </w:rPr>
        <w:t>图</w:t>
      </w:r>
      <w:r>
        <w:rPr>
          <w:rFonts w:hint="eastAsia" w:ascii="宋体" w:hAnsi="宋体" w:eastAsia="宋体" w:cs="宋体"/>
          <w:i w:val="0"/>
          <w:iCs w:val="0"/>
          <w:caps w:val="0"/>
          <w:color w:val="333333"/>
          <w:spacing w:val="0"/>
          <w:sz w:val="28"/>
          <w:szCs w:val="28"/>
          <w:shd w:val="clear" w:fill="FFFFFF"/>
          <w:lang w:eastAsia="zh-CN"/>
        </w:rPr>
        <w:drawing>
          <wp:anchor distT="0" distB="0" distL="114935" distR="114935" simplePos="0" relativeHeight="251661312" behindDoc="1" locked="0" layoutInCell="1" allowOverlap="1">
            <wp:simplePos x="0" y="0"/>
            <wp:positionH relativeFrom="column">
              <wp:align>center</wp:align>
            </wp:positionH>
            <wp:positionV relativeFrom="paragraph">
              <wp:posOffset>90170</wp:posOffset>
            </wp:positionV>
            <wp:extent cx="5828665" cy="3972560"/>
            <wp:effectExtent l="0" t="0" r="8255" b="5080"/>
            <wp:wrapTight wrapText="bothSides">
              <wp:wrapPolygon>
                <wp:start x="0" y="0"/>
                <wp:lineTo x="0" y="21545"/>
                <wp:lineTo x="21518" y="21545"/>
                <wp:lineTo x="21518" y="0"/>
                <wp:lineTo x="0" y="0"/>
              </wp:wrapPolygon>
            </wp:wrapTight>
            <wp:docPr id="1" name="图片 1" descr="{F5DE61A6-E03B-44CB-8678-8746AB09FA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F5DE61A6-E03B-44CB-8678-8746AB09FA9B}"/>
                    <pic:cNvPicPr>
                      <a:picLocks noChangeAspect="1"/>
                    </pic:cNvPicPr>
                  </pic:nvPicPr>
                  <pic:blipFill>
                    <a:blip r:embed="rId25"/>
                    <a:stretch>
                      <a:fillRect/>
                    </a:stretch>
                  </pic:blipFill>
                  <pic:spPr>
                    <a:xfrm>
                      <a:off x="0" y="0"/>
                      <a:ext cx="5828665" cy="3972560"/>
                    </a:xfrm>
                    <a:prstGeom prst="rect">
                      <a:avLst/>
                    </a:prstGeom>
                  </pic:spPr>
                </pic:pic>
              </a:graphicData>
            </a:graphic>
          </wp:anchor>
        </w:drawing>
      </w:r>
    </w:p>
    <w:p w14:paraId="4AA57D09">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sz w:val="28"/>
          <w:szCs w:val="28"/>
        </w:rPr>
      </w:pPr>
      <w:bookmarkStart w:id="84" w:name="_Toc31684"/>
      <w:bookmarkStart w:id="85" w:name="_Toc12653"/>
      <w:r>
        <w:rPr>
          <w:rFonts w:hint="eastAsia" w:ascii="宋体" w:hAnsi="宋体" w:eastAsia="宋体" w:cs="宋体"/>
          <w:b/>
          <w:bCs/>
          <w:spacing w:val="1"/>
          <w:sz w:val="28"/>
          <w:szCs w:val="28"/>
        </w:rPr>
        <w:t>2.2.2</w:t>
      </w:r>
      <w:r>
        <w:rPr>
          <w:rFonts w:hint="eastAsia" w:hAnsi="宋体" w:cs="宋体"/>
          <w:b/>
          <w:bCs/>
          <w:spacing w:val="1"/>
          <w:sz w:val="28"/>
          <w:szCs w:val="28"/>
          <w:lang w:val="en-US" w:eastAsia="zh-CN"/>
        </w:rPr>
        <w:t>3</w:t>
      </w:r>
      <w:r>
        <w:rPr>
          <w:rFonts w:hint="eastAsia" w:ascii="宋体" w:hAnsi="宋体" w:eastAsia="宋体" w:cs="宋体"/>
          <w:b/>
          <w:bCs/>
          <w:spacing w:val="1"/>
          <w:sz w:val="28"/>
          <w:szCs w:val="28"/>
        </w:rPr>
        <w:t>气象条件</w:t>
      </w:r>
      <w:bookmarkEnd w:id="84"/>
      <w:bookmarkEnd w:id="85"/>
    </w:p>
    <w:p w14:paraId="28377A0C">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Chars="0" w:right="0" w:rightChars="0" w:firstLine="560" w:firstLineChars="200"/>
        <w:jc w:val="both"/>
        <w:textAlignment w:val="auto"/>
        <w:rPr>
          <w:rFonts w:hint="eastAsia" w:ascii="宋体" w:hAnsi="宋体" w:eastAsia="宋体" w:cs="宋体"/>
          <w:kern w:val="2"/>
          <w:sz w:val="28"/>
          <w:szCs w:val="28"/>
          <w:lang w:val="en-US" w:eastAsia="zh-CN" w:bidi="ar-SA"/>
        </w:rPr>
      </w:pPr>
      <w:r>
        <w:rPr>
          <w:rFonts w:hint="eastAsia" w:ascii="宋体" w:hAnsi="宋体" w:eastAsia="宋体" w:cs="宋体"/>
          <w:color w:val="000000" w:themeColor="text1"/>
          <w:kern w:val="2"/>
          <w:sz w:val="28"/>
          <w:szCs w:val="28"/>
          <w:shd w:val="clear" w:color="auto" w:fill="auto"/>
          <w:lang w:val="en-US" w:eastAsia="zh-CN" w:bidi="ar-SA"/>
          <w14:textFill>
            <w14:solidFill>
              <w14:schemeClr w14:val="tx1"/>
            </w14:solidFill>
          </w14:textFill>
        </w:rPr>
        <w:t>玉溪市红塔区研和街道属于中亚热带半湿润的凉冬高原季风气候，冬季多受西风带控制，主导风向为西风；夏季主要受西南季风影响，主导风向为西南风。霜冻多发</w:t>
      </w:r>
      <w:r>
        <w:rPr>
          <w:rFonts w:hint="eastAsia" w:ascii="宋体" w:hAnsi="宋体" w:eastAsia="宋体" w:cs="宋体"/>
          <w:kern w:val="2"/>
          <w:sz w:val="28"/>
          <w:szCs w:val="28"/>
          <w:lang w:val="en-US" w:eastAsia="zh-CN" w:bidi="ar-SA"/>
        </w:rPr>
        <w:t>于秋末至来年春初，全年无霜期为206天。年平均气温在15—16°C之间，最热月（七月份）平均温度在25—26°C之间，极端最高气温为33.5°C，最冷月（一月份）平均温度在0°C—0.2°C之间，极端最低温度为-4.6°C。镇内年降水量在800—900毫米之间，年日照时数为2265.1小时，日照百分率达到51%。综上所述，研和镇的气候特点是温暖湿润、四季分明，日照充足，降水量适中，适宜农业生产，同时也有利于居民的生活和健康。</w:t>
      </w:r>
    </w:p>
    <w:p w14:paraId="19DE542A">
      <w:pPr>
        <w:keepNext w:val="0"/>
        <w:keepLines w:val="0"/>
        <w:pageBreakBefore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b/>
          <w:bCs/>
          <w:spacing w:val="1"/>
          <w:sz w:val="28"/>
          <w:szCs w:val="28"/>
        </w:rPr>
      </w:pPr>
      <w:bookmarkStart w:id="86" w:name="_Toc3451"/>
      <w:bookmarkStart w:id="87" w:name="_Toc17309"/>
      <w:r>
        <w:rPr>
          <w:rFonts w:hint="eastAsia" w:ascii="宋体" w:hAnsi="宋体" w:eastAsia="宋体" w:cs="宋体"/>
          <w:b/>
          <w:bCs/>
          <w:spacing w:val="1"/>
          <w:sz w:val="28"/>
          <w:szCs w:val="28"/>
        </w:rPr>
        <w:t>2.2.</w:t>
      </w:r>
      <w:r>
        <w:rPr>
          <w:rFonts w:hint="eastAsia" w:hAnsi="宋体" w:cs="宋体"/>
          <w:b/>
          <w:bCs/>
          <w:spacing w:val="1"/>
          <w:sz w:val="28"/>
          <w:szCs w:val="28"/>
          <w:lang w:val="en-US" w:eastAsia="zh-CN"/>
        </w:rPr>
        <w:t>4</w:t>
      </w:r>
      <w:r>
        <w:rPr>
          <w:rFonts w:hint="eastAsia" w:ascii="宋体" w:hAnsi="宋体" w:eastAsia="宋体" w:cs="宋体"/>
          <w:b/>
          <w:bCs/>
          <w:spacing w:val="1"/>
          <w:sz w:val="28"/>
          <w:szCs w:val="28"/>
        </w:rPr>
        <w:t>地质条件</w:t>
      </w:r>
      <w:bookmarkEnd w:id="86"/>
      <w:bookmarkEnd w:id="87"/>
    </w:p>
    <w:p w14:paraId="01359DA2">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560" w:firstLineChars="200"/>
        <w:textAlignment w:val="auto"/>
        <w:rPr>
          <w:rFonts w:hint="eastAsia" w:ascii="宋体" w:hAnsi="宋体" w:eastAsia="宋体" w:cs="宋体"/>
          <w:kern w:val="2"/>
          <w:sz w:val="28"/>
          <w:szCs w:val="28"/>
          <w:lang w:val="en-US" w:eastAsia="zh-CN" w:bidi="ar-SA"/>
        </w:rPr>
      </w:pPr>
      <w:bookmarkStart w:id="88" w:name="_Toc2551"/>
      <w:r>
        <w:rPr>
          <w:rFonts w:hint="eastAsia" w:ascii="宋体" w:hAnsi="宋体" w:eastAsia="宋体" w:cs="宋体"/>
          <w:color w:val="auto"/>
          <w:sz w:val="28"/>
          <w:szCs w:val="24"/>
          <w:lang w:val="en-US" w:eastAsia="zh-CN"/>
        </w:rPr>
        <w:t>1、</w:t>
      </w:r>
      <w:r>
        <w:rPr>
          <w:rFonts w:hint="eastAsia" w:ascii="宋体" w:hAnsi="宋体" w:eastAsia="宋体" w:cs="宋体"/>
          <w:color w:val="auto"/>
          <w:sz w:val="28"/>
          <w:szCs w:val="24"/>
        </w:rPr>
        <w:t>地形、地貌及地质</w:t>
      </w:r>
      <w:bookmarkEnd w:id="88"/>
    </w:p>
    <w:p w14:paraId="3968E81D">
      <w:pPr>
        <w:pStyle w:val="1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leftChars="0" w:right="0" w:rightChars="0" w:firstLine="560" w:firstLineChars="200"/>
        <w:textAlignment w:val="auto"/>
        <w:rPr>
          <w:rFonts w:hint="eastAsia" w:ascii="宋体" w:hAnsi="宋体" w:eastAsia="宋体" w:cs="宋体"/>
          <w:kern w:val="2"/>
          <w:sz w:val="28"/>
          <w:szCs w:val="28"/>
          <w:lang w:val="en-US" w:eastAsia="zh-CN" w:bidi="ar-SA"/>
        </w:rPr>
      </w:pPr>
      <w:r>
        <w:rPr>
          <w:rFonts w:hint="eastAsia" w:ascii="宋体" w:hAnsi="宋体" w:eastAsia="宋体" w:cs="宋体"/>
          <w:kern w:val="2"/>
          <w:sz w:val="28"/>
          <w:szCs w:val="28"/>
          <w:lang w:val="en-US" w:eastAsia="zh-CN" w:bidi="ar-SA"/>
        </w:rPr>
        <w:t>研和街道地处云贵高原西南部邻近边缘带，宽平山脊或圆形山顶形成了复杂的地形地貌，四周山系环抱研和盆地，坝子中矮丘起伏。东边山势平缓，西边山势峻缓。境内最高峰回族山位于南厂社区，海拔2142.6米；最低点黑泥红石岩位于玉屏社区红塔区、峨山县、通海县三县交界点，海拔1502米。</w:t>
      </w:r>
    </w:p>
    <w:p w14:paraId="25640DAA">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firstLine="560" w:firstLineChars="200"/>
        <w:jc w:val="left"/>
        <w:textAlignment w:val="auto"/>
        <w:outlineLvl w:val="9"/>
        <w:rPr>
          <w:rFonts w:hint="eastAsia" w:ascii="宋体" w:hAnsi="宋体" w:eastAsia="宋体" w:cs="宋体"/>
          <w:color w:val="auto"/>
          <w:sz w:val="28"/>
          <w:szCs w:val="24"/>
        </w:rPr>
      </w:pPr>
      <w:bookmarkStart w:id="89" w:name="_Toc10216"/>
      <w:r>
        <w:rPr>
          <w:rFonts w:hint="eastAsia" w:ascii="宋体" w:hAnsi="宋体" w:eastAsia="宋体" w:cs="宋体"/>
          <w:color w:val="auto"/>
          <w:sz w:val="28"/>
          <w:szCs w:val="24"/>
          <w:lang w:val="en-US" w:eastAsia="zh-CN"/>
        </w:rPr>
        <w:t>2、</w:t>
      </w:r>
      <w:r>
        <w:rPr>
          <w:rFonts w:hint="eastAsia" w:ascii="宋体" w:hAnsi="宋体" w:eastAsia="宋体" w:cs="宋体"/>
          <w:color w:val="auto"/>
          <w:sz w:val="28"/>
          <w:szCs w:val="24"/>
        </w:rPr>
        <w:t>抗震设防烈度</w:t>
      </w:r>
      <w:bookmarkEnd w:id="89"/>
      <w:r>
        <w:rPr>
          <w:rFonts w:hint="eastAsia" w:ascii="宋体" w:hAnsi="宋体" w:eastAsia="宋体" w:cs="宋体"/>
          <w:color w:val="auto"/>
          <w:sz w:val="28"/>
          <w:szCs w:val="24"/>
        </w:rPr>
        <w:t xml:space="preserve"> </w:t>
      </w:r>
    </w:p>
    <w:p w14:paraId="28AA8838">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560" w:firstLineChars="200"/>
        <w:jc w:val="left"/>
        <w:textAlignment w:val="auto"/>
        <w:outlineLvl w:val="9"/>
        <w:rPr>
          <w:rFonts w:hint="eastAsia" w:ascii="宋体" w:hAnsi="宋体" w:eastAsia="宋体" w:cs="宋体"/>
          <w:color w:val="auto"/>
          <w:sz w:val="28"/>
          <w:szCs w:val="24"/>
          <w:lang w:eastAsia="zh-CN"/>
        </w:rPr>
      </w:pPr>
      <w:r>
        <w:rPr>
          <w:rFonts w:hint="eastAsia" w:ascii="宋体" w:hAnsi="宋体" w:eastAsia="宋体" w:cs="宋体"/>
          <w:color w:val="auto"/>
          <w:sz w:val="28"/>
          <w:szCs w:val="24"/>
        </w:rPr>
        <w:t>玉溪市红塔区</w:t>
      </w:r>
      <w:r>
        <w:rPr>
          <w:rFonts w:hint="eastAsia" w:ascii="宋体" w:hAnsi="宋体" w:eastAsia="宋体" w:cs="宋体"/>
          <w:color w:val="auto"/>
          <w:sz w:val="28"/>
          <w:szCs w:val="24"/>
          <w:lang w:val="en-US" w:eastAsia="zh-CN"/>
        </w:rPr>
        <w:t>研和街道</w:t>
      </w:r>
      <w:r>
        <w:rPr>
          <w:rFonts w:hint="eastAsia" w:ascii="宋体" w:hAnsi="宋体" w:eastAsia="宋体" w:cs="宋体"/>
          <w:color w:val="auto"/>
          <w:sz w:val="28"/>
          <w:szCs w:val="24"/>
        </w:rPr>
        <w:t>抗震设防烈度为8度，设计基本地震加速度值0.2g，设计按8度设防</w:t>
      </w:r>
      <w:r>
        <w:rPr>
          <w:rFonts w:hint="eastAsia" w:ascii="宋体" w:hAnsi="宋体" w:eastAsia="宋体" w:cs="宋体"/>
          <w:color w:val="auto"/>
          <w:sz w:val="28"/>
          <w:szCs w:val="24"/>
          <w:lang w:eastAsia="zh-CN"/>
        </w:rPr>
        <w:t>。</w:t>
      </w:r>
    </w:p>
    <w:p w14:paraId="0FBDB514">
      <w:pPr>
        <w:keepNext w:val="0"/>
        <w:keepLines w:val="0"/>
        <w:pageBreakBefore w:val="0"/>
        <w:widowControl w:val="0"/>
        <w:numPr>
          <w:ilvl w:val="0"/>
          <w:numId w:val="0"/>
        </w:numPr>
        <w:kinsoku/>
        <w:wordWrap/>
        <w:overflowPunct/>
        <w:topLinePunct w:val="0"/>
        <w:autoSpaceDE/>
        <w:autoSpaceDN/>
        <w:bidi w:val="0"/>
        <w:adjustRightInd w:val="0"/>
        <w:snapToGrid/>
        <w:spacing w:line="600" w:lineRule="exact"/>
        <w:ind w:left="0" w:leftChars="0" w:firstLine="560" w:firstLineChars="200"/>
        <w:jc w:val="left"/>
        <w:textAlignment w:val="auto"/>
        <w:outlineLvl w:val="9"/>
        <w:rPr>
          <w:rFonts w:hint="eastAsia" w:ascii="宋体" w:hAnsi="宋体" w:eastAsia="宋体" w:cs="宋体"/>
          <w:color w:val="auto"/>
          <w:sz w:val="28"/>
          <w:szCs w:val="24"/>
        </w:rPr>
      </w:pPr>
      <w:bookmarkStart w:id="90" w:name="_Toc17481"/>
      <w:r>
        <w:rPr>
          <w:rFonts w:hint="eastAsia" w:ascii="宋体" w:hAnsi="宋体" w:eastAsia="宋体" w:cs="宋体"/>
          <w:color w:val="auto"/>
          <w:sz w:val="28"/>
          <w:szCs w:val="24"/>
          <w:lang w:val="en-US" w:eastAsia="zh-CN"/>
        </w:rPr>
        <w:t>3、</w:t>
      </w:r>
      <w:r>
        <w:rPr>
          <w:rFonts w:hint="eastAsia" w:ascii="宋体" w:hAnsi="宋体" w:eastAsia="宋体" w:cs="宋体"/>
          <w:color w:val="auto"/>
          <w:sz w:val="28"/>
          <w:szCs w:val="24"/>
        </w:rPr>
        <w:t>水文条件</w:t>
      </w:r>
      <w:bookmarkEnd w:id="90"/>
    </w:p>
    <w:p w14:paraId="2B2492B2">
      <w:pPr>
        <w:keepNext w:val="0"/>
        <w:keepLines w:val="0"/>
        <w:pageBreakBefore w:val="0"/>
        <w:kinsoku/>
        <w:wordWrap/>
        <w:overflowPunct/>
        <w:topLinePunct w:val="0"/>
        <w:autoSpaceDE/>
        <w:autoSpaceDN/>
        <w:bidi w:val="0"/>
        <w:snapToGrid/>
        <w:spacing w:line="600" w:lineRule="exact"/>
        <w:ind w:left="0" w:firstLine="560" w:firstLineChars="200"/>
        <w:textAlignment w:val="auto"/>
        <w:outlineLvl w:val="9"/>
        <w:rPr>
          <w:rFonts w:hint="eastAsia" w:ascii="宋体" w:hAnsi="宋体" w:eastAsia="宋体" w:cs="宋体"/>
          <w:b/>
          <w:bCs/>
          <w:spacing w:val="-4"/>
          <w:sz w:val="30"/>
          <w:szCs w:val="30"/>
        </w:rPr>
      </w:pPr>
      <w:r>
        <w:rPr>
          <w:rFonts w:hint="eastAsia" w:ascii="宋体" w:hAnsi="宋体" w:eastAsia="宋体" w:cs="宋体"/>
          <w:color w:val="auto"/>
          <w:sz w:val="28"/>
          <w:szCs w:val="24"/>
          <w:lang w:val="en-US" w:eastAsia="zh-CN"/>
        </w:rPr>
        <w:t>研和街道境内河道属珠江流域。主要河道有东风大沟、歪者河、清水沟3条。河流总长度47千米，河网密度31.3千米/平方千米。境内最大河流东风南沟自高仓入境至玉屏村，全长15.6千米。流域面积1.5平方千米，年均流量0.3立方米/秒。</w:t>
      </w:r>
    </w:p>
    <w:p w14:paraId="5B92999B">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1"/>
        <w:rPr>
          <w:rFonts w:hint="eastAsia" w:ascii="宋体" w:hAnsi="宋体" w:eastAsia="宋体" w:cs="宋体"/>
          <w:b/>
          <w:bCs/>
          <w:spacing w:val="-4"/>
          <w:sz w:val="30"/>
          <w:szCs w:val="30"/>
          <w:lang w:val="en-US" w:eastAsia="zh-CN"/>
        </w:rPr>
      </w:pPr>
      <w:bookmarkStart w:id="91" w:name="_Toc13776"/>
      <w:bookmarkStart w:id="92" w:name="_Toc6895"/>
      <w:r>
        <w:rPr>
          <w:rFonts w:hint="eastAsia" w:ascii="宋体" w:hAnsi="宋体" w:eastAsia="宋体" w:cs="宋体"/>
          <w:b/>
          <w:bCs/>
          <w:spacing w:val="-4"/>
          <w:sz w:val="30"/>
          <w:szCs w:val="30"/>
        </w:rPr>
        <w:t>2.</w:t>
      </w:r>
      <w:r>
        <w:rPr>
          <w:rFonts w:hint="eastAsia" w:ascii="宋体" w:hAnsi="宋体" w:eastAsia="宋体" w:cs="宋体"/>
          <w:b/>
          <w:bCs/>
          <w:spacing w:val="-4"/>
          <w:sz w:val="30"/>
          <w:szCs w:val="30"/>
          <w:lang w:val="en-US" w:eastAsia="zh-CN"/>
        </w:rPr>
        <w:t>3</w:t>
      </w:r>
      <w:r>
        <w:rPr>
          <w:rFonts w:hint="eastAsia" w:ascii="宋体" w:hAnsi="宋体" w:eastAsia="宋体" w:cs="宋体"/>
          <w:b/>
          <w:bCs/>
          <w:spacing w:val="-4"/>
          <w:sz w:val="30"/>
          <w:szCs w:val="30"/>
        </w:rPr>
        <w:t xml:space="preserve"> </w:t>
      </w:r>
      <w:r>
        <w:rPr>
          <w:rFonts w:hint="eastAsia" w:ascii="宋体" w:hAnsi="宋体" w:eastAsia="宋体" w:cs="宋体"/>
          <w:b/>
          <w:bCs/>
          <w:spacing w:val="-4"/>
          <w:sz w:val="30"/>
          <w:szCs w:val="30"/>
          <w:lang w:val="en-US" w:eastAsia="zh-CN"/>
        </w:rPr>
        <w:t>生产工艺简述</w:t>
      </w:r>
      <w:bookmarkEnd w:id="91"/>
      <w:bookmarkEnd w:id="92"/>
    </w:p>
    <w:p w14:paraId="7C2A865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本项目生产工艺采用国际上发达国家机床制造工艺技术，进行装配、检测等工序组合而成的专业化生产线</w:t>
      </w:r>
      <w:r>
        <w:rPr>
          <w:rFonts w:hint="eastAsia" w:ascii="宋体" w:hAnsi="宋体" w:eastAsia="宋体" w:cs="宋体"/>
          <w:sz w:val="28"/>
          <w:szCs w:val="28"/>
          <w:lang w:eastAsia="zh-CN"/>
        </w:rPr>
        <w:t>，</w:t>
      </w:r>
      <w:r>
        <w:rPr>
          <w:rFonts w:hint="eastAsia" w:ascii="宋体" w:hAnsi="宋体" w:eastAsia="宋体" w:cs="宋体"/>
          <w:sz w:val="28"/>
          <w:szCs w:val="28"/>
        </w:rPr>
        <w:t>具体生产工艺流程简介如下：</w:t>
      </w:r>
    </w:p>
    <w:p w14:paraId="7AC2F46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（1）原</w:t>
      </w:r>
      <w:r>
        <w:rPr>
          <w:rFonts w:hint="eastAsia" w:ascii="宋体" w:hAnsi="宋体" w:eastAsia="宋体" w:cs="宋体"/>
          <w:sz w:val="28"/>
          <w:szCs w:val="28"/>
          <w:lang w:val="en-US" w:eastAsia="zh-CN"/>
        </w:rPr>
        <w:t>材</w:t>
      </w:r>
      <w:r>
        <w:rPr>
          <w:rFonts w:hint="eastAsia" w:ascii="宋体" w:hAnsi="宋体" w:eastAsia="宋体" w:cs="宋体"/>
          <w:sz w:val="28"/>
          <w:szCs w:val="28"/>
        </w:rPr>
        <w:t>料采购、验收</w:t>
      </w:r>
    </w:p>
    <w:p w14:paraId="448836A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项目所需原</w:t>
      </w:r>
      <w:r>
        <w:rPr>
          <w:rFonts w:hint="eastAsia" w:ascii="宋体" w:hAnsi="宋体" w:eastAsia="宋体" w:cs="宋体"/>
          <w:sz w:val="28"/>
          <w:szCs w:val="28"/>
          <w:lang w:val="en-US" w:eastAsia="zh-CN"/>
        </w:rPr>
        <w:t>材料</w:t>
      </w:r>
      <w:r>
        <w:rPr>
          <w:rFonts w:hint="eastAsia" w:ascii="宋体" w:hAnsi="宋体" w:eastAsia="宋体" w:cs="宋体"/>
          <w:sz w:val="28"/>
          <w:szCs w:val="28"/>
        </w:rPr>
        <w:t>为</w:t>
      </w:r>
      <w:r>
        <w:rPr>
          <w:rFonts w:hint="eastAsia" w:ascii="宋体" w:hAnsi="宋体" w:eastAsia="宋体" w:cs="宋体"/>
          <w:sz w:val="28"/>
          <w:szCs w:val="28"/>
          <w:lang w:val="en-US" w:eastAsia="zh-CN"/>
        </w:rPr>
        <w:t>机体</w:t>
      </w:r>
      <w:r>
        <w:rPr>
          <w:rFonts w:hint="eastAsia" w:ascii="宋体" w:hAnsi="宋体" w:eastAsia="宋体" w:cs="宋体"/>
          <w:sz w:val="28"/>
          <w:szCs w:val="28"/>
        </w:rPr>
        <w:t>及功能部件。</w:t>
      </w:r>
      <w:r>
        <w:rPr>
          <w:rFonts w:hint="eastAsia" w:ascii="宋体" w:hAnsi="宋体" w:eastAsia="宋体" w:cs="宋体"/>
          <w:sz w:val="28"/>
          <w:szCs w:val="28"/>
          <w:lang w:val="en-US" w:eastAsia="zh-CN"/>
        </w:rPr>
        <w:t>机体</w:t>
      </w:r>
      <w:r>
        <w:rPr>
          <w:rFonts w:hint="eastAsia" w:ascii="宋体" w:hAnsi="宋体" w:eastAsia="宋体" w:cs="宋体"/>
          <w:sz w:val="28"/>
          <w:szCs w:val="28"/>
          <w:lang w:eastAsia="zh-CN"/>
        </w:rPr>
        <w:t>、</w:t>
      </w:r>
      <w:r>
        <w:rPr>
          <w:rFonts w:hint="eastAsia" w:ascii="宋体" w:hAnsi="宋体" w:eastAsia="宋体" w:cs="宋体"/>
          <w:sz w:val="28"/>
          <w:szCs w:val="28"/>
        </w:rPr>
        <w:t>功能部件</w:t>
      </w:r>
      <w:r>
        <w:rPr>
          <w:rFonts w:hint="eastAsia" w:ascii="宋体" w:hAnsi="宋体" w:eastAsia="宋体" w:cs="宋体"/>
          <w:sz w:val="28"/>
          <w:szCs w:val="28"/>
          <w:lang w:val="en-US" w:eastAsia="zh-CN"/>
        </w:rPr>
        <w:t>均为对外</w:t>
      </w:r>
      <w:r>
        <w:rPr>
          <w:rFonts w:hint="eastAsia" w:ascii="宋体" w:hAnsi="宋体" w:eastAsia="宋体" w:cs="宋体"/>
          <w:sz w:val="28"/>
          <w:szCs w:val="28"/>
        </w:rPr>
        <w:t>采购，将外购的原材料送检验员验收，主要是目测</w:t>
      </w:r>
      <w:r>
        <w:rPr>
          <w:rFonts w:hint="eastAsia" w:ascii="宋体" w:hAnsi="宋体" w:eastAsia="宋体" w:cs="宋体"/>
          <w:sz w:val="28"/>
          <w:szCs w:val="28"/>
          <w:lang w:val="en-US" w:eastAsia="zh-CN"/>
        </w:rPr>
        <w:t>主机及功能部件</w:t>
      </w:r>
      <w:r>
        <w:rPr>
          <w:rFonts w:hint="eastAsia" w:ascii="宋体" w:hAnsi="宋体" w:eastAsia="宋体" w:cs="宋体"/>
          <w:sz w:val="28"/>
          <w:szCs w:val="28"/>
        </w:rPr>
        <w:t>的规格、类型是否符合要求，符合要求的</w:t>
      </w:r>
      <w:r>
        <w:rPr>
          <w:rFonts w:hint="eastAsia" w:ascii="宋体" w:hAnsi="宋体" w:eastAsia="宋体" w:cs="宋体"/>
          <w:sz w:val="28"/>
          <w:szCs w:val="28"/>
          <w:lang w:val="en-US" w:eastAsia="zh-CN"/>
        </w:rPr>
        <w:t>各部件</w:t>
      </w:r>
      <w:r>
        <w:rPr>
          <w:rFonts w:hint="eastAsia" w:ascii="宋体" w:hAnsi="宋体" w:eastAsia="宋体" w:cs="宋体"/>
          <w:sz w:val="28"/>
          <w:szCs w:val="28"/>
        </w:rPr>
        <w:t>用于加工</w:t>
      </w:r>
      <w:r>
        <w:rPr>
          <w:rFonts w:hint="eastAsia" w:ascii="宋体" w:hAnsi="宋体" w:eastAsia="宋体" w:cs="宋体"/>
          <w:sz w:val="28"/>
          <w:szCs w:val="28"/>
          <w:lang w:val="en-US" w:eastAsia="zh-CN"/>
        </w:rPr>
        <w:t>组装</w:t>
      </w:r>
      <w:r>
        <w:rPr>
          <w:rFonts w:hint="eastAsia" w:ascii="宋体" w:hAnsi="宋体" w:eastAsia="宋体" w:cs="宋体"/>
          <w:sz w:val="28"/>
          <w:szCs w:val="28"/>
        </w:rPr>
        <w:t>。</w:t>
      </w:r>
    </w:p>
    <w:p w14:paraId="1235346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（2）</w:t>
      </w:r>
      <w:r>
        <w:rPr>
          <w:rFonts w:hint="eastAsia" w:ascii="宋体" w:hAnsi="宋体" w:eastAsia="宋体" w:cs="宋体"/>
          <w:sz w:val="28"/>
          <w:szCs w:val="28"/>
          <w:lang w:val="en-US" w:eastAsia="zh-CN"/>
        </w:rPr>
        <w:t>低压配电盘安装</w:t>
      </w:r>
    </w:p>
    <w:p w14:paraId="5D49A30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此步骤为主机</w:t>
      </w:r>
      <w:r>
        <w:rPr>
          <w:rFonts w:hint="eastAsia" w:ascii="宋体" w:hAnsi="宋体" w:eastAsia="宋体" w:cs="宋体"/>
          <w:sz w:val="28"/>
          <w:szCs w:val="28"/>
        </w:rPr>
        <w:t>进行数控机床的电力基础设施搭建。这包括将低压配电盘安装在指定位置，确保电源稳定且符合设备要求，同时完成所有必要的电气连接和接地工作，为后续设备的运行提供安全可靠的电力支持。</w:t>
      </w:r>
    </w:p>
    <w:p w14:paraId="333D5788">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rPr>
        <w:t>（3）</w:t>
      </w:r>
      <w:r>
        <w:rPr>
          <w:rFonts w:hint="eastAsia" w:ascii="宋体" w:hAnsi="宋体" w:eastAsia="宋体" w:cs="宋体"/>
          <w:sz w:val="28"/>
          <w:szCs w:val="28"/>
          <w:lang w:val="en-US" w:eastAsia="zh-CN"/>
        </w:rPr>
        <w:t>伺服电机安装</w:t>
      </w:r>
    </w:p>
    <w:p w14:paraId="660F463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此步骤进行伺服电机的精确安装。伺服电机是数控机床的关键部件之一，负责驱动各轴的运动。在安装过程中，需要确保电机与机械部分的精准对接，调整并固定好传动装置，如联轴器或皮带轮等，以保证运动精度和平稳性。</w:t>
      </w:r>
    </w:p>
    <w:p w14:paraId="56C8BA4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（4）</w:t>
      </w:r>
      <w:r>
        <w:rPr>
          <w:rFonts w:hint="eastAsia" w:ascii="宋体" w:hAnsi="宋体" w:eastAsia="宋体" w:cs="宋体"/>
          <w:sz w:val="28"/>
          <w:szCs w:val="28"/>
        </w:rPr>
        <w:t>数控系统安装</w:t>
      </w:r>
    </w:p>
    <w:p w14:paraId="2701D12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接下来，安装数控系统及其相关硬件。包括控制单元、显示器、键盘、接口板卡等组件的布置与连接。在此阶段，还需根据机床的具体型号和功能需求，配置相应的软件系统和参数设置，为后续的调试工作打下基础。</w:t>
      </w:r>
    </w:p>
    <w:p w14:paraId="1901058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数控系统调试</w:t>
      </w:r>
    </w:p>
    <w:p w14:paraId="571124F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完成数控系统的安装后，进入调试阶段。调试工作主要包括检查各硬件部件的连接情况、测试控制系统的功能是否正常、优化机床的运行参数等。通过反复试验和调整，确保数控系统能够准确、高效地控制机床的各项动作。</w:t>
      </w:r>
    </w:p>
    <w:p w14:paraId="1FF86577">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6</w:t>
      </w:r>
      <w:r>
        <w:rPr>
          <w:rFonts w:hint="eastAsia" w:ascii="宋体" w:hAnsi="宋体" w:eastAsia="宋体" w:cs="宋体"/>
          <w:sz w:val="28"/>
          <w:szCs w:val="28"/>
          <w:lang w:eastAsia="zh-CN"/>
        </w:rPr>
        <w:t>）</w:t>
      </w:r>
      <w:r>
        <w:rPr>
          <w:rFonts w:hint="eastAsia" w:ascii="宋体" w:hAnsi="宋体" w:eastAsia="宋体" w:cs="宋体"/>
          <w:sz w:val="28"/>
          <w:szCs w:val="28"/>
        </w:rPr>
        <w:t xml:space="preserve"> 数控机床检验测试</w:t>
      </w:r>
    </w:p>
    <w:p w14:paraId="63B89CA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在数控系统调试完成后，进行全面的机床检验测试。这包括对机床的加工精度、重复定位精度、动态响应性能等进行严格的测试和评估。同时，还需要检查机床的安全防护装置是否完好有效，以确保机床在使用过程中的人机安全。</w:t>
      </w:r>
    </w:p>
    <w:p w14:paraId="33241E3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kern w:val="2"/>
          <w:sz w:val="28"/>
          <w:szCs w:val="28"/>
          <w:lang w:val="en-US" w:eastAsia="zh-CN" w:bidi="ar-SA"/>
        </w:rPr>
        <w:t>（7）</w:t>
      </w:r>
      <w:r>
        <w:rPr>
          <w:rFonts w:hint="eastAsia" w:ascii="宋体" w:hAnsi="宋体" w:eastAsia="宋体" w:cs="宋体"/>
          <w:sz w:val="28"/>
          <w:szCs w:val="28"/>
        </w:rPr>
        <w:t>交付发货</w:t>
      </w:r>
    </w:p>
    <w:p w14:paraId="1B82C3C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当数控机床经过全面检验测试并确认无误后，即可进行交付发货。在发货前，需做好包装保护工作以防止运输过程中的损坏，并向用户提供详细的操作手册和维护指南以便用户正确使用和维护机床。</w:t>
      </w:r>
    </w:p>
    <w:p w14:paraId="3B62F5FD">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t>工艺流程图如下：</w:t>
      </w:r>
      <w:r>
        <w:rPr>
          <w:rFonts w:hint="eastAsia" w:ascii="宋体" w:hAnsi="宋体" w:eastAsia="宋体" w:cs="宋体"/>
          <w:sz w:val="28"/>
          <w:szCs w:val="28"/>
          <w:lang w:val="en-US" w:eastAsia="zh-CN"/>
        </w:rPr>
        <w:t xml:space="preserve"> </w:t>
      </w:r>
    </w:p>
    <w:p w14:paraId="1BB6FFD5">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b/>
          <w:sz w:val="28"/>
          <w:szCs w:val="28"/>
        </w:rPr>
      </w:pPr>
      <w:r>
        <w:rPr>
          <w:rFonts w:hint="eastAsia" w:ascii="宋体" w:hAnsi="宋体" w:eastAsia="宋体" w:cs="宋体"/>
          <w:sz w:val="28"/>
          <w:szCs w:val="28"/>
          <w:lang w:eastAsia="zh-CN"/>
        </w:rPr>
        <w:drawing>
          <wp:anchor distT="0" distB="0" distL="114300" distR="114300" simplePos="0" relativeHeight="251662336" behindDoc="0" locked="0" layoutInCell="1" allowOverlap="1">
            <wp:simplePos x="0" y="0"/>
            <wp:positionH relativeFrom="column">
              <wp:align>center</wp:align>
            </wp:positionH>
            <wp:positionV relativeFrom="paragraph">
              <wp:posOffset>151130</wp:posOffset>
            </wp:positionV>
            <wp:extent cx="5359400" cy="744855"/>
            <wp:effectExtent l="0" t="0" r="5080" b="1905"/>
            <wp:wrapNone/>
            <wp:docPr id="109" name="F360BE8B-6686-4F3D-AEAF-501FE73E4058-1" descr="绘图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F360BE8B-6686-4F3D-AEAF-501FE73E4058-1" descr="绘图1"/>
                    <pic:cNvPicPr>
                      <a:picLocks noChangeAspect="1"/>
                    </pic:cNvPicPr>
                  </pic:nvPicPr>
                  <pic:blipFill>
                    <a:blip r:embed="rId26"/>
                    <a:stretch>
                      <a:fillRect/>
                    </a:stretch>
                  </pic:blipFill>
                  <pic:spPr>
                    <a:xfrm>
                      <a:off x="0" y="0"/>
                      <a:ext cx="5359400" cy="744855"/>
                    </a:xfrm>
                    <a:prstGeom prst="rect">
                      <a:avLst/>
                    </a:prstGeom>
                  </pic:spPr>
                </pic:pic>
              </a:graphicData>
            </a:graphic>
          </wp:anchor>
        </w:drawing>
      </w:r>
    </w:p>
    <w:p w14:paraId="32FE502B">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宋体" w:hAnsi="宋体" w:eastAsia="宋体" w:cs="宋体"/>
          <w:b/>
          <w:sz w:val="28"/>
          <w:szCs w:val="28"/>
        </w:rPr>
      </w:pPr>
    </w:p>
    <w:p w14:paraId="310A141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sz w:val="28"/>
          <w:szCs w:val="28"/>
        </w:rPr>
      </w:pPr>
    </w:p>
    <w:p w14:paraId="766A373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sz w:val="28"/>
          <w:szCs w:val="28"/>
        </w:rPr>
      </w:pPr>
      <w:r>
        <w:rPr>
          <w:rFonts w:hint="eastAsia" w:ascii="宋体" w:hAnsi="宋体" w:eastAsia="宋体" w:cs="宋体"/>
          <w:b/>
          <w:sz w:val="28"/>
          <w:szCs w:val="28"/>
        </w:rPr>
        <w:t>生产工艺流程方框图</w:t>
      </w:r>
    </w:p>
    <w:p w14:paraId="37DC8FBC">
      <w:pPr>
        <w:tabs>
          <w:tab w:val="left" w:pos="3354"/>
        </w:tabs>
        <w:bidi w:val="0"/>
        <w:jc w:val="left"/>
        <w:rPr>
          <w:rFonts w:hint="eastAsia"/>
          <w:b/>
          <w:bCs/>
          <w:sz w:val="28"/>
          <w:szCs w:val="28"/>
          <w:lang w:val="en-US" w:eastAsia="zh-CN"/>
        </w:rPr>
      </w:pPr>
    </w:p>
    <w:p w14:paraId="043AAEA6">
      <w:pPr>
        <w:tabs>
          <w:tab w:val="left" w:pos="3354"/>
        </w:tabs>
        <w:bidi w:val="0"/>
        <w:jc w:val="left"/>
        <w:rPr>
          <w:rFonts w:hint="eastAsia"/>
          <w:b/>
          <w:bCs/>
          <w:sz w:val="28"/>
          <w:szCs w:val="28"/>
          <w:lang w:val="en-US" w:eastAsia="zh-CN"/>
        </w:rPr>
      </w:pPr>
      <w:r>
        <w:rPr>
          <w:rFonts w:hint="eastAsia"/>
          <w:b/>
          <w:bCs/>
          <w:sz w:val="28"/>
          <w:szCs w:val="28"/>
          <w:lang w:val="en-US" w:eastAsia="zh-CN"/>
        </w:rPr>
        <w:t>2.3.1主要设备设施</w:t>
      </w:r>
    </w:p>
    <w:p w14:paraId="19827E51">
      <w:pPr>
        <w:tabs>
          <w:tab w:val="left" w:pos="3354"/>
        </w:tabs>
        <w:bidi w:val="0"/>
        <w:jc w:val="center"/>
        <w:rPr>
          <w:rFonts w:hint="eastAsia"/>
          <w:b/>
          <w:bCs/>
          <w:sz w:val="24"/>
          <w:szCs w:val="24"/>
          <w:lang w:val="en-US" w:eastAsia="zh-CN"/>
        </w:rPr>
      </w:pPr>
      <w:r>
        <w:rPr>
          <w:b/>
          <w:sz w:val="24"/>
          <w:szCs w:val="24"/>
        </w:rPr>
        <w:t>主要生产设备一览表</w:t>
      </w:r>
    </w:p>
    <w:tbl>
      <w:tblPr>
        <w:tblStyle w:val="16"/>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28"/>
        <w:gridCol w:w="3973"/>
        <w:gridCol w:w="2572"/>
        <w:gridCol w:w="1428"/>
      </w:tblGrid>
      <w:tr w14:paraId="7BFEC5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14:paraId="7A5CED0B">
            <w:pPr>
              <w:jc w:val="center"/>
              <w:rPr>
                <w:rFonts w:ascii="仿宋_GB2312" w:eastAsia="仿宋_GB2312"/>
                <w:szCs w:val="21"/>
              </w:rPr>
            </w:pPr>
            <w:r>
              <w:rPr>
                <w:rFonts w:hint="eastAsia" w:ascii="仿宋_GB2312" w:eastAsia="仿宋_GB2312"/>
                <w:szCs w:val="21"/>
              </w:rPr>
              <w:t>序号</w:t>
            </w:r>
          </w:p>
        </w:tc>
        <w:tc>
          <w:tcPr>
            <w:tcW w:w="3017" w:type="dxa"/>
            <w:tcBorders>
              <w:top w:val="single" w:color="auto" w:sz="4" w:space="0"/>
              <w:left w:val="single" w:color="auto" w:sz="4" w:space="0"/>
              <w:bottom w:val="single" w:color="auto" w:sz="4" w:space="0"/>
              <w:right w:val="single" w:color="auto" w:sz="4" w:space="0"/>
            </w:tcBorders>
            <w:vAlign w:val="center"/>
          </w:tcPr>
          <w:p w14:paraId="396DAE60">
            <w:pPr>
              <w:jc w:val="center"/>
              <w:rPr>
                <w:rFonts w:ascii="仿宋_GB2312" w:eastAsia="仿宋_GB2312"/>
                <w:szCs w:val="21"/>
              </w:rPr>
            </w:pPr>
            <w:r>
              <w:rPr>
                <w:rFonts w:hint="eastAsia" w:ascii="仿宋_GB2312" w:eastAsia="仿宋_GB2312"/>
                <w:szCs w:val="21"/>
              </w:rPr>
              <w:t>设备名称</w:t>
            </w:r>
          </w:p>
        </w:tc>
        <w:tc>
          <w:tcPr>
            <w:tcW w:w="1953" w:type="dxa"/>
            <w:tcBorders>
              <w:top w:val="single" w:color="auto" w:sz="4" w:space="0"/>
              <w:left w:val="single" w:color="auto" w:sz="4" w:space="0"/>
              <w:bottom w:val="single" w:color="auto" w:sz="4" w:space="0"/>
              <w:right w:val="single" w:color="auto" w:sz="4" w:space="0"/>
            </w:tcBorders>
            <w:vAlign w:val="center"/>
          </w:tcPr>
          <w:p w14:paraId="509CBAD2">
            <w:pPr>
              <w:jc w:val="center"/>
              <w:rPr>
                <w:rFonts w:ascii="仿宋_GB2312" w:eastAsia="仿宋_GB2312"/>
                <w:szCs w:val="21"/>
              </w:rPr>
            </w:pPr>
            <w:r>
              <w:rPr>
                <w:rFonts w:hint="eastAsia" w:ascii="仿宋_GB2312" w:eastAsia="仿宋_GB2312"/>
                <w:szCs w:val="21"/>
              </w:rPr>
              <w:t>规格型号</w:t>
            </w:r>
          </w:p>
        </w:tc>
        <w:tc>
          <w:tcPr>
            <w:tcW w:w="1084" w:type="dxa"/>
            <w:tcBorders>
              <w:top w:val="single" w:color="auto" w:sz="4" w:space="0"/>
              <w:left w:val="single" w:color="auto" w:sz="4" w:space="0"/>
              <w:bottom w:val="single" w:color="auto" w:sz="4" w:space="0"/>
              <w:right w:val="single" w:color="auto" w:sz="4" w:space="0"/>
            </w:tcBorders>
            <w:vAlign w:val="center"/>
          </w:tcPr>
          <w:p w14:paraId="1F902CD0">
            <w:pPr>
              <w:jc w:val="center"/>
              <w:rPr>
                <w:rFonts w:ascii="仿宋_GB2312" w:eastAsia="仿宋_GB2312"/>
                <w:szCs w:val="21"/>
              </w:rPr>
            </w:pPr>
            <w:r>
              <w:rPr>
                <w:rFonts w:hint="eastAsia" w:ascii="仿宋_GB2312" w:eastAsia="仿宋_GB2312"/>
                <w:szCs w:val="21"/>
              </w:rPr>
              <w:t>数量</w:t>
            </w:r>
          </w:p>
        </w:tc>
      </w:tr>
      <w:tr w14:paraId="27F1A0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14:paraId="591FCB04">
            <w:pPr>
              <w:jc w:val="center"/>
              <w:rPr>
                <w:rFonts w:ascii="仿宋_GB2312" w:eastAsia="仿宋_GB2312"/>
                <w:szCs w:val="21"/>
              </w:rPr>
            </w:pPr>
            <w:r>
              <w:rPr>
                <w:rFonts w:hint="eastAsia" w:ascii="仿宋_GB2312" w:eastAsia="仿宋_GB2312"/>
                <w:szCs w:val="21"/>
              </w:rPr>
              <w:t>1</w:t>
            </w:r>
          </w:p>
        </w:tc>
        <w:tc>
          <w:tcPr>
            <w:tcW w:w="3017" w:type="dxa"/>
            <w:tcBorders>
              <w:top w:val="single" w:color="auto" w:sz="4" w:space="0"/>
              <w:left w:val="single" w:color="auto" w:sz="4" w:space="0"/>
              <w:bottom w:val="single" w:color="auto" w:sz="4" w:space="0"/>
              <w:right w:val="single" w:color="auto" w:sz="4" w:space="0"/>
            </w:tcBorders>
            <w:vAlign w:val="center"/>
          </w:tcPr>
          <w:p w14:paraId="41FF1005">
            <w:pPr>
              <w:jc w:val="center"/>
              <w:rPr>
                <w:rFonts w:ascii="仿宋_GB2312" w:eastAsia="仿宋_GB2312"/>
                <w:szCs w:val="21"/>
              </w:rPr>
            </w:pPr>
            <w:r>
              <w:rPr>
                <w:rFonts w:ascii="仿宋_GB2312" w:eastAsia="仿宋_GB2312"/>
                <w:szCs w:val="21"/>
              </w:rPr>
              <w:t>修配用磨床</w:t>
            </w:r>
          </w:p>
        </w:tc>
        <w:tc>
          <w:tcPr>
            <w:tcW w:w="1953" w:type="dxa"/>
            <w:tcBorders>
              <w:top w:val="single" w:color="auto" w:sz="4" w:space="0"/>
              <w:left w:val="single" w:color="auto" w:sz="4" w:space="0"/>
              <w:bottom w:val="single" w:color="auto" w:sz="4" w:space="0"/>
              <w:right w:val="single" w:color="auto" w:sz="4" w:space="0"/>
            </w:tcBorders>
            <w:vAlign w:val="center"/>
          </w:tcPr>
          <w:p w14:paraId="7E84F3BF">
            <w:pPr>
              <w:jc w:val="center"/>
              <w:rPr>
                <w:rFonts w:ascii="仿宋_GB2312" w:eastAsia="仿宋_GB2312"/>
                <w:szCs w:val="21"/>
              </w:rPr>
            </w:pPr>
            <w:r>
              <w:rPr>
                <w:rFonts w:hint="eastAsia" w:ascii="仿宋_GB2312" w:eastAsia="仿宋_GB2312"/>
                <w:szCs w:val="21"/>
              </w:rPr>
              <w:t>7132</w:t>
            </w:r>
          </w:p>
        </w:tc>
        <w:tc>
          <w:tcPr>
            <w:tcW w:w="1084" w:type="dxa"/>
            <w:tcBorders>
              <w:top w:val="single" w:color="auto" w:sz="4" w:space="0"/>
              <w:left w:val="single" w:color="auto" w:sz="4" w:space="0"/>
              <w:bottom w:val="single" w:color="auto" w:sz="4" w:space="0"/>
              <w:right w:val="single" w:color="auto" w:sz="4" w:space="0"/>
            </w:tcBorders>
            <w:vAlign w:val="center"/>
          </w:tcPr>
          <w:p w14:paraId="4B0754F3">
            <w:pPr>
              <w:jc w:val="center"/>
              <w:rPr>
                <w:rFonts w:ascii="仿宋_GB2312" w:eastAsia="仿宋_GB2312"/>
                <w:szCs w:val="21"/>
              </w:rPr>
            </w:pPr>
            <w:r>
              <w:rPr>
                <w:rFonts w:hint="eastAsia" w:ascii="仿宋_GB2312" w:eastAsia="仿宋_GB2312"/>
                <w:szCs w:val="21"/>
              </w:rPr>
              <w:t>1</w:t>
            </w:r>
          </w:p>
        </w:tc>
      </w:tr>
      <w:tr w14:paraId="7D09FE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14:paraId="26439333">
            <w:pPr>
              <w:jc w:val="center"/>
              <w:rPr>
                <w:rFonts w:ascii="仿宋_GB2312" w:eastAsia="仿宋_GB2312"/>
                <w:szCs w:val="21"/>
              </w:rPr>
            </w:pPr>
            <w:r>
              <w:rPr>
                <w:rFonts w:hint="eastAsia" w:ascii="仿宋_GB2312" w:eastAsia="仿宋_GB2312"/>
                <w:szCs w:val="21"/>
              </w:rPr>
              <w:t>2</w:t>
            </w:r>
          </w:p>
        </w:tc>
        <w:tc>
          <w:tcPr>
            <w:tcW w:w="3017" w:type="dxa"/>
            <w:tcBorders>
              <w:top w:val="single" w:color="auto" w:sz="4" w:space="0"/>
              <w:left w:val="single" w:color="auto" w:sz="4" w:space="0"/>
              <w:bottom w:val="single" w:color="auto" w:sz="4" w:space="0"/>
              <w:right w:val="single" w:color="auto" w:sz="4" w:space="0"/>
            </w:tcBorders>
            <w:vAlign w:val="center"/>
          </w:tcPr>
          <w:p w14:paraId="397D4617">
            <w:pPr>
              <w:jc w:val="center"/>
              <w:rPr>
                <w:rFonts w:ascii="仿宋_GB2312" w:eastAsia="仿宋_GB2312"/>
                <w:szCs w:val="21"/>
              </w:rPr>
            </w:pPr>
            <w:r>
              <w:rPr>
                <w:rFonts w:ascii="仿宋_GB2312" w:eastAsia="仿宋_GB2312"/>
                <w:szCs w:val="21"/>
              </w:rPr>
              <w:t>万能铣床</w:t>
            </w:r>
          </w:p>
        </w:tc>
        <w:tc>
          <w:tcPr>
            <w:tcW w:w="1953" w:type="dxa"/>
            <w:tcBorders>
              <w:top w:val="single" w:color="auto" w:sz="4" w:space="0"/>
              <w:left w:val="single" w:color="auto" w:sz="4" w:space="0"/>
              <w:bottom w:val="single" w:color="auto" w:sz="4" w:space="0"/>
              <w:right w:val="single" w:color="auto" w:sz="4" w:space="0"/>
            </w:tcBorders>
            <w:vAlign w:val="center"/>
          </w:tcPr>
          <w:p w14:paraId="51CBBEC7">
            <w:pPr>
              <w:jc w:val="center"/>
              <w:rPr>
                <w:rFonts w:ascii="仿宋_GB2312" w:eastAsia="仿宋_GB2312"/>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45F888B5">
            <w:pPr>
              <w:jc w:val="center"/>
              <w:rPr>
                <w:rFonts w:ascii="仿宋_GB2312" w:eastAsia="仿宋_GB2312"/>
                <w:szCs w:val="21"/>
              </w:rPr>
            </w:pPr>
            <w:r>
              <w:rPr>
                <w:rFonts w:hint="eastAsia" w:ascii="仿宋_GB2312" w:eastAsia="仿宋_GB2312"/>
                <w:szCs w:val="21"/>
              </w:rPr>
              <w:t>1</w:t>
            </w:r>
          </w:p>
        </w:tc>
      </w:tr>
      <w:tr w14:paraId="79531F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1084" w:type="dxa"/>
            <w:tcBorders>
              <w:top w:val="single" w:color="auto" w:sz="4" w:space="0"/>
              <w:left w:val="single" w:color="auto" w:sz="4" w:space="0"/>
              <w:bottom w:val="single" w:color="auto" w:sz="4" w:space="0"/>
              <w:right w:val="single" w:color="auto" w:sz="4" w:space="0"/>
            </w:tcBorders>
            <w:vAlign w:val="center"/>
          </w:tcPr>
          <w:p w14:paraId="4647CAFB">
            <w:pPr>
              <w:jc w:val="center"/>
              <w:rPr>
                <w:rFonts w:hint="eastAsia" w:ascii="仿宋_GB2312" w:eastAsia="仿宋_GB2312"/>
                <w:szCs w:val="21"/>
                <w:lang w:val="en-US" w:eastAsia="zh-CN"/>
              </w:rPr>
            </w:pPr>
            <w:bookmarkStart w:id="93" w:name="_Toc18518"/>
            <w:r>
              <w:rPr>
                <w:rFonts w:hint="eastAsia" w:ascii="仿宋_GB2312" w:eastAsia="仿宋_GB2312"/>
                <w:szCs w:val="21"/>
                <w:lang w:val="en-US" w:eastAsia="zh-CN"/>
              </w:rPr>
              <w:t>3</w:t>
            </w:r>
          </w:p>
        </w:tc>
        <w:tc>
          <w:tcPr>
            <w:tcW w:w="3017" w:type="dxa"/>
            <w:tcBorders>
              <w:top w:val="single" w:color="auto" w:sz="4" w:space="0"/>
              <w:left w:val="single" w:color="auto" w:sz="4" w:space="0"/>
              <w:bottom w:val="single" w:color="auto" w:sz="4" w:space="0"/>
              <w:right w:val="single" w:color="auto" w:sz="4" w:space="0"/>
            </w:tcBorders>
            <w:vAlign w:val="center"/>
          </w:tcPr>
          <w:p w14:paraId="27D48400">
            <w:pPr>
              <w:jc w:val="center"/>
              <w:rPr>
                <w:rFonts w:hint="default" w:ascii="仿宋_GB2312" w:eastAsia="仿宋_GB2312"/>
                <w:szCs w:val="21"/>
                <w:lang w:val="en-US" w:eastAsia="zh-CN"/>
              </w:rPr>
            </w:pPr>
            <w:r>
              <w:rPr>
                <w:rFonts w:hint="eastAsia" w:ascii="仿宋_GB2312" w:eastAsia="仿宋_GB2312"/>
                <w:szCs w:val="21"/>
                <w:lang w:val="en-US" w:eastAsia="zh-CN"/>
              </w:rPr>
              <w:t>手持电动工具</w:t>
            </w:r>
          </w:p>
        </w:tc>
        <w:tc>
          <w:tcPr>
            <w:tcW w:w="1953" w:type="dxa"/>
            <w:tcBorders>
              <w:top w:val="single" w:color="auto" w:sz="4" w:space="0"/>
              <w:left w:val="single" w:color="auto" w:sz="4" w:space="0"/>
              <w:bottom w:val="single" w:color="auto" w:sz="4" w:space="0"/>
              <w:right w:val="single" w:color="auto" w:sz="4" w:space="0"/>
            </w:tcBorders>
            <w:vAlign w:val="center"/>
          </w:tcPr>
          <w:p w14:paraId="597E0A84">
            <w:pPr>
              <w:jc w:val="center"/>
              <w:rPr>
                <w:rFonts w:ascii="仿宋_GB2312" w:eastAsia="仿宋_GB2312"/>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0F94612">
            <w:pPr>
              <w:jc w:val="center"/>
              <w:rPr>
                <w:rFonts w:hint="eastAsia" w:ascii="仿宋_GB2312" w:eastAsia="仿宋_GB2312"/>
                <w:szCs w:val="21"/>
              </w:rPr>
            </w:pPr>
          </w:p>
        </w:tc>
      </w:tr>
    </w:tbl>
    <w:p w14:paraId="76D5B5ED">
      <w:pPr>
        <w:keepNext w:val="0"/>
        <w:keepLines w:val="0"/>
        <w:pageBreakBefore w:val="0"/>
        <w:widowControl w:val="0"/>
        <w:suppressLineNumbers w:val="0"/>
        <w:kinsoku w:val="0"/>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94" w:name="_Toc23494"/>
      <w:r>
        <w:rPr>
          <w:rFonts w:hint="eastAsia" w:ascii="宋体" w:hAnsi="宋体" w:eastAsia="宋体" w:cs="宋体"/>
          <w:b/>
          <w:bCs/>
          <w:color w:val="000000"/>
          <w:kern w:val="0"/>
          <w:sz w:val="30"/>
          <w:szCs w:val="30"/>
          <w:lang w:val="en-US" w:eastAsia="zh-CN" w:bidi="ar"/>
        </w:rPr>
        <w:t>2.4公用工程及辅助生产设施</w:t>
      </w:r>
      <w:bookmarkEnd w:id="93"/>
      <w:bookmarkEnd w:id="94"/>
    </w:p>
    <w:p w14:paraId="4D086380">
      <w:pPr>
        <w:keepNext w:val="0"/>
        <w:keepLines w:val="0"/>
        <w:pageBreakBefore w:val="0"/>
        <w:widowControl w:val="0"/>
        <w:kinsoku w:val="0"/>
        <w:wordWrap/>
        <w:overflowPunct/>
        <w:topLinePunct w:val="0"/>
        <w:autoSpaceDE/>
        <w:autoSpaceDN/>
        <w:bidi w:val="0"/>
        <w:adjustRightInd/>
        <w:snapToGrid/>
        <w:spacing w:line="600" w:lineRule="exact"/>
        <w:ind w:left="0"/>
        <w:textAlignment w:val="auto"/>
        <w:outlineLvl w:val="2"/>
        <w:rPr>
          <w:rFonts w:hint="eastAsia" w:ascii="宋体" w:hAnsi="宋体" w:eastAsia="宋体" w:cs="宋体"/>
          <w:sz w:val="28"/>
          <w:szCs w:val="28"/>
        </w:rPr>
      </w:pPr>
      <w:bookmarkStart w:id="95" w:name="_Toc16990"/>
      <w:bookmarkStart w:id="96" w:name="_Toc13196"/>
      <w:r>
        <w:rPr>
          <w:rFonts w:hint="eastAsia" w:ascii="宋体" w:hAnsi="宋体" w:eastAsia="宋体" w:cs="宋体"/>
          <w:b/>
          <w:bCs/>
          <w:sz w:val="28"/>
          <w:szCs w:val="28"/>
        </w:rPr>
        <w:t>2.4.1</w:t>
      </w:r>
      <w:r>
        <w:rPr>
          <w:rFonts w:hint="eastAsia" w:ascii="宋体" w:hAnsi="宋体" w:eastAsia="宋体" w:cs="宋体"/>
          <w:spacing w:val="-56"/>
          <w:sz w:val="28"/>
          <w:szCs w:val="28"/>
        </w:rPr>
        <w:t xml:space="preserve"> </w:t>
      </w:r>
      <w:r>
        <w:rPr>
          <w:rFonts w:hint="eastAsia" w:ascii="宋体" w:hAnsi="宋体" w:eastAsia="宋体" w:cs="宋体"/>
          <w:b/>
          <w:bCs/>
          <w:sz w:val="28"/>
          <w:szCs w:val="28"/>
        </w:rPr>
        <w:t>给排水</w:t>
      </w:r>
      <w:bookmarkEnd w:id="95"/>
      <w:bookmarkEnd w:id="96"/>
    </w:p>
    <w:p w14:paraId="345260EB">
      <w:pPr>
        <w:keepNext w:val="0"/>
        <w:keepLines w:val="0"/>
        <w:pageBreakBefore w:val="0"/>
        <w:widowControl w:val="0"/>
        <w:tabs>
          <w:tab w:val="left" w:pos="3354"/>
        </w:tabs>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（1）供水</w:t>
      </w:r>
    </w:p>
    <w:p w14:paraId="4D46561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本项目生产、生活用水由研和镇自来水厂通过研和工业园区城市供水管网提供。</w:t>
      </w:r>
    </w:p>
    <w:p w14:paraId="1C8D791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（2）排水</w:t>
      </w:r>
    </w:p>
    <w:p w14:paraId="1ECCD54A">
      <w:pPr>
        <w:keepNext w:val="0"/>
        <w:keepLines w:val="0"/>
        <w:pageBreakBefore w:val="0"/>
        <w:widowControl/>
        <w:kinsoku/>
        <w:wordWrap/>
        <w:overflowPunct/>
        <w:topLinePunct w:val="0"/>
        <w:autoSpaceDE/>
        <w:autoSpaceDN/>
        <w:bidi w:val="0"/>
        <w:adjustRightInd/>
        <w:snapToGrid w:val="0"/>
        <w:spacing w:line="600" w:lineRule="exact"/>
        <w:ind w:firstLine="560" w:firstLineChars="200"/>
        <w:textAlignment w:val="auto"/>
        <w:rPr>
          <w:rFonts w:hint="eastAsia" w:ascii="Times New Roman" w:cs="宋体"/>
          <w:color w:val="auto"/>
          <w:sz w:val="28"/>
          <w:szCs w:val="28"/>
        </w:rPr>
      </w:pPr>
      <w:r>
        <w:rPr>
          <w:rFonts w:hint="eastAsia" w:cs="宋体"/>
          <w:color w:val="auto"/>
          <w:sz w:val="28"/>
          <w:szCs w:val="28"/>
        </w:rPr>
        <w:t>1.</w:t>
      </w:r>
      <w:r>
        <w:rPr>
          <w:rFonts w:hint="eastAsia" w:ascii="Times New Roman" w:cs="宋体"/>
          <w:color w:val="auto"/>
          <w:sz w:val="28"/>
          <w:szCs w:val="28"/>
        </w:rPr>
        <w:t>生产排水：生产用水</w:t>
      </w:r>
      <w:r>
        <w:rPr>
          <w:rFonts w:hint="eastAsia" w:cs="宋体"/>
          <w:color w:val="auto"/>
          <w:sz w:val="28"/>
          <w:szCs w:val="28"/>
        </w:rPr>
        <w:t>循环使用</w:t>
      </w:r>
      <w:r>
        <w:rPr>
          <w:rFonts w:hint="eastAsia" w:ascii="Times New Roman"/>
          <w:color w:val="auto"/>
          <w:sz w:val="28"/>
        </w:rPr>
        <w:t>，</w:t>
      </w:r>
      <w:r>
        <w:rPr>
          <w:rFonts w:hint="eastAsia"/>
          <w:color w:val="auto"/>
          <w:sz w:val="28"/>
        </w:rPr>
        <w:t>不外排</w:t>
      </w:r>
      <w:r>
        <w:rPr>
          <w:rFonts w:hint="eastAsia" w:ascii="Times New Roman"/>
          <w:color w:val="auto"/>
          <w:sz w:val="28"/>
        </w:rPr>
        <w:t>。</w:t>
      </w:r>
    </w:p>
    <w:p w14:paraId="0817C18A">
      <w:pPr>
        <w:keepNext w:val="0"/>
        <w:keepLines w:val="0"/>
        <w:pageBreakBefore w:val="0"/>
        <w:kinsoku/>
        <w:wordWrap/>
        <w:overflowPunct/>
        <w:topLinePunct w:val="0"/>
        <w:autoSpaceDE/>
        <w:autoSpaceDN/>
        <w:bidi w:val="0"/>
        <w:adjustRightInd/>
        <w:snapToGrid w:val="0"/>
        <w:spacing w:line="600" w:lineRule="exact"/>
        <w:ind w:firstLine="560" w:firstLineChars="200"/>
        <w:textAlignment w:val="auto"/>
        <w:rPr>
          <w:rFonts w:hint="eastAsia" w:ascii="Times New Roman" w:cs="宋体"/>
          <w:color w:val="auto"/>
          <w:sz w:val="28"/>
          <w:szCs w:val="28"/>
        </w:rPr>
      </w:pPr>
      <w:r>
        <w:rPr>
          <w:rFonts w:hint="eastAsia" w:cs="宋体"/>
          <w:color w:val="auto"/>
          <w:sz w:val="28"/>
          <w:szCs w:val="28"/>
        </w:rPr>
        <w:t>2.</w:t>
      </w:r>
      <w:r>
        <w:rPr>
          <w:rFonts w:hint="eastAsia" w:ascii="Times New Roman" w:cs="宋体"/>
          <w:color w:val="auto"/>
          <w:sz w:val="28"/>
          <w:szCs w:val="28"/>
        </w:rPr>
        <w:t>生活污水排放：</w:t>
      </w:r>
      <w:r>
        <w:rPr>
          <w:rFonts w:hint="eastAsia" w:cs="宋体"/>
          <w:color w:val="auto"/>
          <w:sz w:val="28"/>
          <w:szCs w:val="28"/>
        </w:rPr>
        <w:t>生活废水经化粪池处理后，用于厂区绿化</w:t>
      </w:r>
      <w:r>
        <w:rPr>
          <w:rFonts w:hint="eastAsia" w:cs="宋体"/>
          <w:color w:val="auto"/>
          <w:sz w:val="28"/>
          <w:szCs w:val="28"/>
          <w:lang w:val="en-US" w:eastAsia="zh-CN"/>
        </w:rPr>
        <w:t>和厂区洒水降尘</w:t>
      </w:r>
      <w:r>
        <w:rPr>
          <w:rFonts w:hint="eastAsia" w:cs="宋体"/>
          <w:color w:val="auto"/>
          <w:sz w:val="28"/>
          <w:szCs w:val="28"/>
        </w:rPr>
        <w:t>，不外排</w:t>
      </w:r>
      <w:r>
        <w:rPr>
          <w:rFonts w:hint="eastAsia" w:ascii="Times New Roman" w:cs="宋体"/>
          <w:color w:val="auto"/>
          <w:sz w:val="28"/>
          <w:szCs w:val="28"/>
        </w:rPr>
        <w:t>。</w:t>
      </w:r>
    </w:p>
    <w:p w14:paraId="32AB4FA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default" w:ascii="宋体" w:hAnsi="宋体" w:eastAsia="宋体" w:cs="宋体"/>
          <w:color w:val="000000"/>
          <w:kern w:val="0"/>
          <w:sz w:val="28"/>
          <w:szCs w:val="28"/>
          <w:lang w:val="en-US" w:eastAsia="zh-CN" w:bidi="ar"/>
        </w:rPr>
      </w:pPr>
      <w:r>
        <w:rPr>
          <w:rFonts w:hint="eastAsia" w:cs="宋体"/>
          <w:color w:val="auto"/>
          <w:sz w:val="28"/>
          <w:szCs w:val="28"/>
        </w:rPr>
        <w:t>3.</w:t>
      </w:r>
      <w:r>
        <w:rPr>
          <w:rFonts w:hint="eastAsia" w:ascii="Times New Roman" w:cs="宋体"/>
          <w:color w:val="auto"/>
          <w:sz w:val="28"/>
          <w:szCs w:val="28"/>
        </w:rPr>
        <w:t>雨水</w:t>
      </w:r>
      <w:r>
        <w:rPr>
          <w:rFonts w:hint="eastAsia" w:cs="宋体"/>
          <w:color w:val="auto"/>
          <w:sz w:val="28"/>
          <w:szCs w:val="28"/>
        </w:rPr>
        <w:t>排放：厂区的地面及道路为已硬化的道路，厂区围墙外设置了雨水排水沟。</w:t>
      </w:r>
    </w:p>
    <w:p w14:paraId="558635CA">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b/>
          <w:bCs/>
          <w:spacing w:val="-5"/>
          <w:sz w:val="28"/>
          <w:szCs w:val="28"/>
        </w:rPr>
      </w:pPr>
      <w:bookmarkStart w:id="97" w:name="_Toc744"/>
      <w:bookmarkStart w:id="98" w:name="_Toc20805"/>
      <w:r>
        <w:rPr>
          <w:rFonts w:hint="eastAsia" w:ascii="宋体" w:hAnsi="宋体" w:eastAsia="宋体" w:cs="宋体"/>
          <w:b/>
          <w:bCs/>
          <w:spacing w:val="-5"/>
          <w:sz w:val="28"/>
          <w:szCs w:val="28"/>
        </w:rPr>
        <w:t>2.4.2</w:t>
      </w:r>
      <w:r>
        <w:rPr>
          <w:rFonts w:hint="eastAsia" w:ascii="宋体" w:hAnsi="宋体" w:eastAsia="宋体" w:cs="宋体"/>
          <w:b/>
          <w:bCs/>
          <w:spacing w:val="-55"/>
          <w:sz w:val="28"/>
          <w:szCs w:val="28"/>
        </w:rPr>
        <w:t xml:space="preserve"> </w:t>
      </w:r>
      <w:r>
        <w:rPr>
          <w:rFonts w:hint="eastAsia" w:ascii="宋体" w:hAnsi="宋体" w:eastAsia="宋体" w:cs="宋体"/>
          <w:b/>
          <w:bCs/>
          <w:spacing w:val="-5"/>
          <w:sz w:val="28"/>
          <w:szCs w:val="28"/>
        </w:rPr>
        <w:t>供配电和公辅设施</w:t>
      </w:r>
      <w:bookmarkEnd w:id="97"/>
      <w:bookmarkEnd w:id="98"/>
    </w:p>
    <w:p w14:paraId="0F13017E">
      <w:pPr>
        <w:keepNext w:val="0"/>
        <w:keepLines w:val="0"/>
        <w:pageBreakBefore w:val="0"/>
        <w:widowControl w:val="0"/>
        <w:kinsoku/>
        <w:wordWrap/>
        <w:overflowPunct/>
        <w:topLinePunct w:val="0"/>
        <w:autoSpaceDE/>
        <w:autoSpaceDN/>
        <w:bidi w:val="0"/>
        <w:adjustRightInd/>
        <w:snapToGrid/>
        <w:spacing w:line="600" w:lineRule="exact"/>
        <w:ind w:left="0" w:right="0" w:firstLine="560" w:firstLineChars="200"/>
        <w:jc w:val="both"/>
        <w:textAlignment w:val="auto"/>
        <w:rPr>
          <w:rFonts w:hint="eastAsia" w:ascii="宋体" w:hAnsi="宋体" w:eastAsia="宋体" w:cs="宋体"/>
          <w:color w:val="0000FF"/>
          <w:spacing w:val="0"/>
          <w:sz w:val="28"/>
          <w:szCs w:val="28"/>
          <w:shd w:val="clear" w:color="FFFFFF" w:fill="D9D9D9"/>
        </w:rPr>
      </w:pPr>
      <w:r>
        <w:rPr>
          <w:rFonts w:hint="eastAsia" w:ascii="宋体" w:hAnsi="宋体" w:eastAsia="宋体" w:cs="宋体"/>
          <w:color w:val="0000FF"/>
          <w:spacing w:val="0"/>
          <w:sz w:val="28"/>
          <w:szCs w:val="28"/>
          <w:shd w:val="clear" w:color="FFFFFF" w:fill="D9D9D9"/>
          <w:lang w:val="en-US" w:eastAsia="zh-CN"/>
        </w:rPr>
        <w:t xml:space="preserve">本项目的电力供应由玉溪市供电局研和变电站供给，经省道 S102 线 </w:t>
      </w:r>
    </w:p>
    <w:p w14:paraId="6ACFED1A">
      <w:pPr>
        <w:keepNext w:val="0"/>
        <w:keepLines w:val="0"/>
        <w:pageBreakBefore w:val="0"/>
        <w:widowControl w:val="0"/>
        <w:kinsoku/>
        <w:wordWrap/>
        <w:overflowPunct/>
        <w:topLinePunct w:val="0"/>
        <w:autoSpaceDE/>
        <w:autoSpaceDN/>
        <w:bidi w:val="0"/>
        <w:adjustRightInd/>
        <w:snapToGrid/>
        <w:spacing w:line="600" w:lineRule="exact"/>
        <w:ind w:right="0"/>
        <w:jc w:val="both"/>
        <w:textAlignment w:val="auto"/>
        <w:rPr>
          <w:rFonts w:hint="default" w:ascii="宋体" w:hAnsi="宋体" w:eastAsia="宋体" w:cs="宋体"/>
          <w:color w:val="0000FF"/>
          <w:spacing w:val="0"/>
          <w:sz w:val="28"/>
          <w:szCs w:val="28"/>
          <w:shd w:val="clear" w:color="FFFFFF" w:fill="D9D9D9"/>
          <w:lang w:val="en-US" w:eastAsia="zh-CN"/>
        </w:rPr>
      </w:pPr>
      <w:r>
        <w:rPr>
          <w:rFonts w:hint="eastAsia" w:ascii="宋体" w:hAnsi="宋体" w:eastAsia="宋体" w:cs="宋体"/>
          <w:color w:val="0000FF"/>
          <w:spacing w:val="0"/>
          <w:sz w:val="28"/>
          <w:szCs w:val="28"/>
          <w:shd w:val="clear" w:color="FFFFFF" w:fill="D9D9D9"/>
          <w:lang w:val="en-US" w:eastAsia="zh-CN"/>
        </w:rPr>
        <w:t>10kV 输电线路接到厂区内的变压器，从而为整个项目提供稳定的电力保障。</w:t>
      </w:r>
      <w:r>
        <w:rPr>
          <w:rFonts w:hint="eastAsia" w:ascii="宋体" w:hAnsi="宋体" w:eastAsia="宋体" w:cs="宋体"/>
          <w:color w:val="0000FF"/>
          <w:spacing w:val="0"/>
          <w:sz w:val="28"/>
          <w:szCs w:val="28"/>
          <w:shd w:val="clear" w:color="FFFFFF" w:fill="D9D9D9"/>
        </w:rPr>
        <w:t>企业</w:t>
      </w:r>
      <w:r>
        <w:rPr>
          <w:rFonts w:hint="eastAsia" w:ascii="宋体" w:hAnsi="宋体" w:eastAsia="宋体" w:cs="宋体"/>
          <w:color w:val="0000FF"/>
          <w:spacing w:val="0"/>
          <w:sz w:val="28"/>
          <w:szCs w:val="28"/>
          <w:shd w:val="clear" w:color="FFFFFF" w:fill="D9D9D9"/>
          <w:lang w:val="en-US" w:eastAsia="zh-CN"/>
        </w:rPr>
        <w:t>委托了</w:t>
      </w:r>
      <w:r>
        <w:rPr>
          <w:rFonts w:hint="eastAsia" w:hAnsi="宋体" w:cs="宋体"/>
          <w:color w:val="0000FF"/>
          <w:spacing w:val="0"/>
          <w:sz w:val="28"/>
          <w:szCs w:val="28"/>
          <w:shd w:val="clear" w:color="FFFFFF" w:fill="D9D9D9"/>
          <w:lang w:val="en-US" w:eastAsia="zh-CN"/>
        </w:rPr>
        <w:t>玉溪政检工程质量检测</w:t>
      </w:r>
      <w:r>
        <w:rPr>
          <w:rFonts w:hint="eastAsia" w:ascii="宋体" w:hAnsi="宋体" w:eastAsia="宋体" w:cs="宋体"/>
          <w:color w:val="0000FF"/>
          <w:spacing w:val="0"/>
          <w:sz w:val="28"/>
          <w:szCs w:val="28"/>
          <w:shd w:val="clear" w:color="FFFFFF" w:fill="D9D9D9"/>
          <w:lang w:val="en-US" w:eastAsia="zh-CN"/>
        </w:rPr>
        <w:t>有限</w:t>
      </w:r>
      <w:r>
        <w:rPr>
          <w:rFonts w:hint="eastAsia" w:hAnsi="宋体" w:cs="宋体"/>
          <w:color w:val="0000FF"/>
          <w:spacing w:val="0"/>
          <w:sz w:val="28"/>
          <w:szCs w:val="28"/>
          <w:shd w:val="clear" w:color="FFFFFF" w:fill="D9D9D9"/>
          <w:lang w:val="en-US" w:eastAsia="zh-CN"/>
        </w:rPr>
        <w:t>责任</w:t>
      </w:r>
      <w:r>
        <w:rPr>
          <w:rFonts w:hint="eastAsia" w:ascii="宋体" w:hAnsi="宋体" w:eastAsia="宋体" w:cs="宋体"/>
          <w:color w:val="0000FF"/>
          <w:spacing w:val="0"/>
          <w:sz w:val="28"/>
          <w:szCs w:val="28"/>
          <w:shd w:val="clear" w:color="FFFFFF" w:fill="D9D9D9"/>
          <w:lang w:val="en-US" w:eastAsia="zh-CN"/>
        </w:rPr>
        <w:t>公司进行接地电阻检测</w:t>
      </w:r>
      <w:r>
        <w:rPr>
          <w:rFonts w:hint="eastAsia" w:ascii="宋体" w:hAnsi="宋体" w:eastAsia="宋体" w:cs="宋体"/>
          <w:color w:val="0000FF"/>
          <w:spacing w:val="0"/>
          <w:sz w:val="28"/>
          <w:szCs w:val="28"/>
          <w:shd w:val="clear" w:color="FFFFFF" w:fill="D9D9D9"/>
        </w:rPr>
        <w:t>，并出具《</w:t>
      </w:r>
      <w:r>
        <w:rPr>
          <w:rFonts w:hint="eastAsia" w:ascii="宋体" w:hAnsi="宋体" w:eastAsia="宋体" w:cs="宋体"/>
          <w:color w:val="0000FF"/>
          <w:spacing w:val="0"/>
          <w:sz w:val="28"/>
          <w:szCs w:val="28"/>
          <w:shd w:val="clear" w:color="FFFFFF" w:fill="D9D9D9"/>
          <w:lang w:val="en-US" w:eastAsia="zh-CN"/>
        </w:rPr>
        <w:t>接地电阻检测报告</w:t>
      </w:r>
      <w:r>
        <w:rPr>
          <w:rFonts w:hint="eastAsia" w:ascii="宋体" w:hAnsi="宋体" w:eastAsia="宋体" w:cs="宋体"/>
          <w:color w:val="0000FF"/>
          <w:spacing w:val="0"/>
          <w:sz w:val="28"/>
          <w:szCs w:val="28"/>
          <w:shd w:val="clear" w:color="FFFFFF" w:fill="D9D9D9"/>
        </w:rPr>
        <w:t>》</w:t>
      </w:r>
      <w:r>
        <w:rPr>
          <w:rFonts w:hint="eastAsia" w:ascii="宋体" w:hAnsi="宋体" w:eastAsia="宋体" w:cs="宋体"/>
          <w:color w:val="0000FF"/>
          <w:spacing w:val="0"/>
          <w:sz w:val="28"/>
          <w:szCs w:val="28"/>
          <w:shd w:val="clear" w:color="FFFFFF" w:fill="D9D9D9"/>
          <w:lang w:eastAsia="zh-CN"/>
        </w:rPr>
        <w:t>，</w:t>
      </w:r>
      <w:r>
        <w:rPr>
          <w:rFonts w:hint="eastAsia" w:ascii="宋体" w:hAnsi="宋体" w:eastAsia="宋体" w:cs="宋体"/>
          <w:color w:val="0000FF"/>
          <w:spacing w:val="0"/>
          <w:sz w:val="28"/>
          <w:szCs w:val="28"/>
          <w:shd w:val="clear" w:color="FFFFFF" w:fill="D9D9D9"/>
          <w:lang w:val="en-US" w:eastAsia="zh-CN"/>
        </w:rPr>
        <w:t>接地电阻检测报告见附件12。</w:t>
      </w:r>
    </w:p>
    <w:p w14:paraId="39FE24CC">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b/>
          <w:bCs/>
          <w:sz w:val="28"/>
          <w:szCs w:val="28"/>
          <w:lang w:val="en-US" w:eastAsia="zh-CN"/>
        </w:rPr>
      </w:pPr>
      <w:bookmarkStart w:id="99" w:name="_Toc11030"/>
      <w:bookmarkStart w:id="100" w:name="_Toc27946"/>
      <w:r>
        <w:rPr>
          <w:rFonts w:hint="eastAsia" w:ascii="宋体" w:hAnsi="宋体" w:eastAsia="宋体" w:cs="宋体"/>
          <w:b/>
          <w:bCs/>
          <w:sz w:val="28"/>
          <w:szCs w:val="28"/>
          <w:lang w:val="en-US" w:eastAsia="zh-CN"/>
        </w:rPr>
        <w:t>2.4.</w:t>
      </w:r>
      <w:r>
        <w:rPr>
          <w:rFonts w:hint="eastAsia" w:hAnsi="宋体" w:cs="宋体"/>
          <w:b/>
          <w:bCs/>
          <w:sz w:val="28"/>
          <w:szCs w:val="28"/>
          <w:lang w:val="en-US" w:eastAsia="zh-CN"/>
        </w:rPr>
        <w:t>3</w:t>
      </w:r>
      <w:r>
        <w:rPr>
          <w:rFonts w:hint="eastAsia" w:ascii="宋体" w:hAnsi="宋体" w:eastAsia="宋体" w:cs="宋体"/>
          <w:b/>
          <w:bCs/>
          <w:sz w:val="28"/>
          <w:szCs w:val="28"/>
          <w:lang w:val="en-US" w:eastAsia="zh-CN"/>
        </w:rPr>
        <w:t>消防</w:t>
      </w:r>
      <w:bookmarkEnd w:id="99"/>
      <w:bookmarkEnd w:id="100"/>
    </w:p>
    <w:p w14:paraId="4815F405">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Times New Roman"/>
          <w:snapToGrid w:val="0"/>
          <w:color w:val="auto"/>
          <w:sz w:val="28"/>
          <w:lang w:val="en-US" w:eastAsia="zh-CN"/>
        </w:rPr>
      </w:pPr>
      <w:r>
        <w:rPr>
          <w:rFonts w:hint="eastAsia" w:ascii="Times New Roman"/>
          <w:snapToGrid w:val="0"/>
          <w:color w:val="auto"/>
          <w:sz w:val="28"/>
        </w:rPr>
        <w:t>建筑物与建筑物之间的防火间距、建筑物的耐火等级及安全疏散、门、窗等的确定根据《建筑设计防火规范》执行。</w:t>
      </w:r>
      <w:r>
        <w:rPr>
          <w:rFonts w:hint="eastAsia" w:ascii="Times New Roman"/>
          <w:snapToGrid w:val="0"/>
          <w:color w:val="auto"/>
          <w:sz w:val="28"/>
          <w:lang w:val="en-US" w:eastAsia="zh-CN"/>
        </w:rPr>
        <w:t>厂区共有消火栓3个，灭火器24个，属于干粉灭火器布置在在厂区各地点，布置点如下图所示：</w:t>
      </w:r>
    </w:p>
    <w:p w14:paraId="6C1A59C6">
      <w:pPr>
        <w:keepNext w:val="0"/>
        <w:keepLines w:val="0"/>
        <w:pageBreakBefore w:val="0"/>
        <w:widowControl w:val="0"/>
        <w:kinsoku/>
        <w:wordWrap/>
        <w:overflowPunct/>
        <w:topLinePunct w:val="0"/>
        <w:autoSpaceDE/>
        <w:autoSpaceDN/>
        <w:bidi w:val="0"/>
        <w:adjustRightInd/>
        <w:snapToGrid/>
        <w:spacing w:line="600" w:lineRule="exact"/>
        <w:ind w:left="0"/>
        <w:textAlignment w:val="auto"/>
        <w:outlineLvl w:val="2"/>
        <w:rPr>
          <w:rFonts w:hint="eastAsia" w:ascii="宋体" w:hAnsi="宋体" w:eastAsia="宋体" w:cs="宋体"/>
          <w:b/>
          <w:bCs/>
          <w:sz w:val="28"/>
          <w:szCs w:val="28"/>
          <w:lang w:val="en-US" w:eastAsia="zh-CN"/>
        </w:rPr>
      </w:pPr>
      <w:bookmarkStart w:id="101" w:name="_Toc19904"/>
      <w:r>
        <w:rPr>
          <w:rFonts w:hint="eastAsia" w:ascii="宋体" w:hAnsi="宋体" w:eastAsia="宋体" w:cs="宋体"/>
          <w:b/>
          <w:bCs/>
          <w:sz w:val="28"/>
          <w:szCs w:val="28"/>
          <w:lang w:val="en-US" w:eastAsia="zh-CN"/>
        </w:rPr>
        <w:t>2.4.4供气系统</w:t>
      </w:r>
      <w:r>
        <w:rPr>
          <w:rFonts w:hint="eastAsia" w:ascii="宋体" w:hAnsi="宋体" w:eastAsia="宋体" w:cs="宋体"/>
          <w:b/>
          <w:bCs/>
          <w:sz w:val="28"/>
          <w:szCs w:val="28"/>
          <w:lang w:val="en-US" w:eastAsia="zh-CN"/>
        </w:rPr>
        <w:drawing>
          <wp:anchor distT="0" distB="0" distL="114935" distR="114935" simplePos="0" relativeHeight="251664384" behindDoc="1" locked="0" layoutInCell="1" allowOverlap="1">
            <wp:simplePos x="0" y="0"/>
            <wp:positionH relativeFrom="column">
              <wp:align>center</wp:align>
            </wp:positionH>
            <wp:positionV relativeFrom="paragraph">
              <wp:posOffset>0</wp:posOffset>
            </wp:positionV>
            <wp:extent cx="5816600" cy="3611245"/>
            <wp:effectExtent l="0" t="0" r="5080" b="31115"/>
            <wp:wrapTight wrapText="bothSides">
              <wp:wrapPolygon>
                <wp:start x="0" y="0"/>
                <wp:lineTo x="0" y="21513"/>
                <wp:lineTo x="21562" y="21513"/>
                <wp:lineTo x="21562" y="0"/>
                <wp:lineTo x="0" y="0"/>
              </wp:wrapPolygon>
            </wp:wrapTight>
            <wp:docPr id="7" name="图片 7" descr="灭火器，消防布局25.04.07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灭火器，消防布局25.04.07_00"/>
                    <pic:cNvPicPr>
                      <a:picLocks noChangeAspect="1"/>
                    </pic:cNvPicPr>
                  </pic:nvPicPr>
                  <pic:blipFill>
                    <a:blip r:embed="rId27"/>
                    <a:stretch>
                      <a:fillRect/>
                    </a:stretch>
                  </pic:blipFill>
                  <pic:spPr>
                    <a:xfrm>
                      <a:off x="0" y="0"/>
                      <a:ext cx="5816600" cy="3611245"/>
                    </a:xfrm>
                    <a:prstGeom prst="rect">
                      <a:avLst/>
                    </a:prstGeom>
                  </pic:spPr>
                </pic:pic>
              </a:graphicData>
            </a:graphic>
          </wp:anchor>
        </w:drawing>
      </w:r>
      <w:bookmarkEnd w:id="101"/>
    </w:p>
    <w:p w14:paraId="6AAEE9A4">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auto"/>
          <w:kern w:val="0"/>
          <w:sz w:val="28"/>
          <w:szCs w:val="28"/>
          <w:lang w:eastAsia="zh-CN"/>
        </w:rPr>
      </w:pPr>
      <w:r>
        <w:rPr>
          <w:rFonts w:hint="eastAsia" w:ascii="宋体" w:hAnsi="宋体" w:eastAsia="宋体" w:cs="宋体"/>
          <w:b w:val="0"/>
          <w:bCs w:val="0"/>
          <w:color w:val="auto"/>
          <w:kern w:val="0"/>
          <w:sz w:val="28"/>
          <w:szCs w:val="28"/>
        </w:rPr>
        <w:t>供气系统本公司自寻购买，最高压力0.9Mpa  1立方气罐</w:t>
      </w:r>
      <w:r>
        <w:rPr>
          <w:rFonts w:hint="eastAsia" w:hAnsi="宋体" w:cs="宋体"/>
          <w:b w:val="0"/>
          <w:bCs w:val="0"/>
          <w:color w:val="auto"/>
          <w:kern w:val="0"/>
          <w:sz w:val="28"/>
          <w:szCs w:val="28"/>
          <w:lang w:eastAsia="zh-CN"/>
        </w:rPr>
        <w:t>。</w:t>
      </w:r>
    </w:p>
    <w:p w14:paraId="7B465ACE">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b/>
          <w:bCs/>
          <w:color w:val="auto"/>
          <w:kern w:val="0"/>
          <w:sz w:val="30"/>
          <w:szCs w:val="30"/>
        </w:rPr>
      </w:pPr>
      <w:bookmarkStart w:id="102" w:name="_Toc10879"/>
      <w:bookmarkStart w:id="103" w:name="_Toc30117"/>
      <w:bookmarkStart w:id="104" w:name="_Toc6032"/>
      <w:bookmarkStart w:id="105" w:name="_Toc3731"/>
      <w:bookmarkStart w:id="106" w:name="_Toc21"/>
      <w:r>
        <w:rPr>
          <w:rFonts w:hint="eastAsia" w:ascii="宋体" w:hAnsi="宋体" w:eastAsia="宋体" w:cs="宋体"/>
          <w:b/>
          <w:bCs/>
          <w:color w:val="auto"/>
          <w:kern w:val="0"/>
          <w:sz w:val="30"/>
          <w:szCs w:val="30"/>
        </w:rPr>
        <w:t>2.</w:t>
      </w:r>
      <w:r>
        <w:rPr>
          <w:rFonts w:hint="eastAsia" w:ascii="宋体" w:hAnsi="宋体" w:eastAsia="宋体" w:cs="宋体"/>
          <w:b/>
          <w:bCs/>
          <w:color w:val="auto"/>
          <w:kern w:val="0"/>
          <w:sz w:val="30"/>
          <w:szCs w:val="30"/>
          <w:lang w:val="en-US" w:eastAsia="zh-CN"/>
        </w:rPr>
        <w:t>5</w:t>
      </w:r>
      <w:r>
        <w:rPr>
          <w:rFonts w:hint="eastAsia" w:ascii="宋体" w:hAnsi="宋体" w:eastAsia="宋体" w:cs="宋体"/>
          <w:b/>
          <w:bCs/>
          <w:color w:val="auto"/>
          <w:kern w:val="0"/>
          <w:sz w:val="30"/>
          <w:szCs w:val="30"/>
        </w:rPr>
        <w:t>安全管理现状</w:t>
      </w:r>
      <w:bookmarkEnd w:id="102"/>
      <w:bookmarkEnd w:id="103"/>
      <w:bookmarkEnd w:id="104"/>
      <w:bookmarkEnd w:id="105"/>
      <w:bookmarkEnd w:id="106"/>
    </w:p>
    <w:p w14:paraId="5F1206FD">
      <w:pPr>
        <w:keepNext w:val="0"/>
        <w:keepLines w:val="0"/>
        <w:pageBreakBefore w:val="0"/>
        <w:widowControl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07" w:name="_Toc26648"/>
      <w:bookmarkStart w:id="108" w:name="_Toc5340"/>
      <w:r>
        <w:rPr>
          <w:rFonts w:hint="eastAsia" w:ascii="宋体" w:hAnsi="宋体" w:eastAsia="宋体" w:cs="宋体"/>
          <w:b/>
          <w:bCs/>
          <w:color w:val="000000"/>
          <w:kern w:val="0"/>
          <w:sz w:val="28"/>
          <w:szCs w:val="28"/>
          <w:lang w:val="en-US" w:eastAsia="zh-CN" w:bidi="ar"/>
        </w:rPr>
        <w:t>2.5.1 安全生产管理组织机构</w:t>
      </w:r>
      <w:bookmarkEnd w:id="107"/>
      <w:bookmarkEnd w:id="108"/>
    </w:p>
    <w:p w14:paraId="66D76132">
      <w:pPr>
        <w:keepNext w:val="0"/>
        <w:keepLines w:val="0"/>
        <w:pageBreakBefore w:val="0"/>
        <w:widowControl w:val="0"/>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云南</w:t>
      </w:r>
      <w:r>
        <w:rPr>
          <w:rFonts w:hint="eastAsia" w:hAnsi="宋体" w:cs="宋体"/>
          <w:color w:val="000000"/>
          <w:kern w:val="0"/>
          <w:sz w:val="28"/>
          <w:szCs w:val="28"/>
          <w:lang w:val="en-US" w:eastAsia="zh-CN" w:bidi="ar"/>
        </w:rPr>
        <w:t>高机精密数控机床</w:t>
      </w:r>
      <w:r>
        <w:rPr>
          <w:rFonts w:hint="eastAsia" w:ascii="宋体" w:hAnsi="宋体" w:eastAsia="宋体" w:cs="宋体"/>
          <w:color w:val="000000"/>
          <w:kern w:val="0"/>
          <w:sz w:val="28"/>
          <w:szCs w:val="28"/>
          <w:lang w:val="en-US" w:eastAsia="zh-CN" w:bidi="ar"/>
        </w:rPr>
        <w:t>有限公司法定代表人为</w:t>
      </w:r>
      <w:r>
        <w:rPr>
          <w:rFonts w:hint="eastAsia" w:ascii="Times New Roman" w:hAnsi="Times New Roman" w:cs="Times New Roman"/>
          <w:sz w:val="28"/>
          <w:szCs w:val="28"/>
          <w:lang w:val="en-US" w:eastAsia="zh-CN"/>
        </w:rPr>
        <w:t>段春先</w:t>
      </w:r>
      <w:r>
        <w:rPr>
          <w:rFonts w:hint="eastAsia" w:ascii="宋体" w:hAnsi="宋体" w:eastAsia="宋体" w:cs="宋体"/>
          <w:color w:val="000000"/>
          <w:kern w:val="0"/>
          <w:sz w:val="28"/>
          <w:szCs w:val="28"/>
          <w:lang w:val="en-US" w:eastAsia="zh-CN" w:bidi="ar"/>
        </w:rPr>
        <w:t>，为本公司安全生产主要负责人。安全生产领导小组组长由公司法人</w:t>
      </w:r>
      <w:r>
        <w:rPr>
          <w:rFonts w:hint="eastAsia" w:ascii="Times New Roman" w:hAnsi="Times New Roman" w:cs="Times New Roman"/>
          <w:sz w:val="28"/>
          <w:szCs w:val="28"/>
          <w:lang w:val="en-US" w:eastAsia="zh-CN"/>
        </w:rPr>
        <w:t>段春先</w:t>
      </w:r>
      <w:r>
        <w:rPr>
          <w:rFonts w:hint="eastAsia" w:ascii="宋体" w:hAnsi="宋体" w:eastAsia="宋体" w:cs="宋体"/>
          <w:color w:val="000000"/>
          <w:kern w:val="0"/>
          <w:sz w:val="28"/>
          <w:szCs w:val="28"/>
          <w:lang w:val="en-US" w:eastAsia="zh-CN" w:bidi="ar"/>
        </w:rPr>
        <w:t>担任，负责对国家安全生产法律法规的贯彻落实，对公司的安全生产工作全面负责，领导小组副组长由</w:t>
      </w:r>
      <w:r>
        <w:rPr>
          <w:rFonts w:hint="eastAsia" w:ascii="Times New Roman" w:hAnsi="Times New Roman" w:cs="Times New Roman"/>
          <w:sz w:val="28"/>
          <w:szCs w:val="28"/>
          <w:lang w:val="en-US" w:eastAsia="zh-CN"/>
        </w:rPr>
        <w:t>副董事长聂泳</w:t>
      </w:r>
      <w:r>
        <w:rPr>
          <w:rFonts w:hint="eastAsia" w:ascii="宋体" w:hAnsi="宋体" w:eastAsia="宋体" w:cs="宋体"/>
          <w:color w:val="000000"/>
          <w:kern w:val="0"/>
          <w:sz w:val="28"/>
          <w:szCs w:val="28"/>
          <w:lang w:val="en-US" w:eastAsia="zh-CN" w:bidi="ar"/>
        </w:rPr>
        <w:t>担任，负责公司日常生产组织和安全管理的领导工作。</w:t>
      </w:r>
    </w:p>
    <w:p w14:paraId="77AC971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组长：</w:t>
      </w:r>
      <w:r>
        <w:rPr>
          <w:rFonts w:hint="eastAsia" w:ascii="Times New Roman" w:hAnsi="Times New Roman" w:cs="Times New Roman"/>
          <w:sz w:val="28"/>
          <w:szCs w:val="28"/>
          <w:lang w:val="en-US" w:eastAsia="zh-CN"/>
        </w:rPr>
        <w:t>段春先</w:t>
      </w:r>
    </w:p>
    <w:p w14:paraId="5B90987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Times New Roman" w:hAnsi="Times New Roman" w:cs="Times New Roman"/>
          <w:sz w:val="28"/>
          <w:szCs w:val="28"/>
          <w:lang w:val="en-US" w:eastAsia="zh-CN"/>
        </w:rPr>
      </w:pPr>
      <w:r>
        <w:rPr>
          <w:rFonts w:hint="eastAsia" w:ascii="宋体" w:hAnsi="宋体" w:eastAsia="宋体" w:cs="宋体"/>
          <w:sz w:val="28"/>
          <w:szCs w:val="28"/>
          <w:lang w:val="en-US" w:eastAsia="zh-CN"/>
        </w:rPr>
        <w:t>副组长：</w:t>
      </w:r>
      <w:r>
        <w:rPr>
          <w:rFonts w:hint="eastAsia" w:ascii="Times New Roman" w:hAnsi="Times New Roman" w:cs="Times New Roman"/>
          <w:sz w:val="28"/>
          <w:szCs w:val="28"/>
          <w:lang w:val="en-US" w:eastAsia="zh-CN"/>
        </w:rPr>
        <w:t>聂泳</w:t>
      </w:r>
    </w:p>
    <w:p w14:paraId="4F53B4AA">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组员：</w:t>
      </w:r>
      <w:r>
        <w:rPr>
          <w:rStyle w:val="22"/>
          <w:rFonts w:hint="eastAsia" w:ascii="宋体" w:hAnsi="宋体" w:eastAsia="宋体" w:cs="宋体"/>
          <w:color w:val="auto"/>
          <w:sz w:val="28"/>
          <w:szCs w:val="28"/>
          <w:lang w:val="zh-CN" w:eastAsia="zh-CN"/>
        </w:rPr>
        <w:t>周建雄、周加才、李光国、李江辉、李光勇、陈立、周红伟</w:t>
      </w:r>
    </w:p>
    <w:p w14:paraId="3B45CF9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ascii="宋体" w:hAnsi="宋体" w:eastAsia="宋体" w:cs="宋体"/>
          <w:color w:val="000000" w:themeColor="text1"/>
          <w:spacing w:val="-1"/>
          <w:sz w:val="28"/>
          <w:szCs w:val="28"/>
          <w:shd w:val="clear" w:color="auto" w:fill="auto"/>
          <w14:textFill>
            <w14:solidFill>
              <w14:schemeClr w14:val="tx1"/>
            </w14:solidFill>
          </w14:textFill>
        </w:rPr>
      </w:pPr>
      <w:r>
        <w:rPr>
          <w:rFonts w:hint="eastAsia" w:ascii="宋体" w:hAnsi="宋体" w:eastAsia="宋体" w:cs="宋体"/>
          <w:color w:val="0000FF"/>
          <w:spacing w:val="0"/>
          <w:sz w:val="28"/>
          <w:szCs w:val="28"/>
          <w:shd w:val="clear" w:color="FFFFFF" w:fill="D9D9D9"/>
          <w:lang w:val="en-US" w:eastAsia="zh-CN"/>
        </w:rPr>
        <w:drawing>
          <wp:anchor distT="0" distB="0" distL="114935" distR="114935" simplePos="0" relativeHeight="251663360" behindDoc="1" locked="0" layoutInCell="1" allowOverlap="1">
            <wp:simplePos x="0" y="0"/>
            <wp:positionH relativeFrom="column">
              <wp:posOffset>78105</wp:posOffset>
            </wp:positionH>
            <wp:positionV relativeFrom="paragraph">
              <wp:posOffset>1405255</wp:posOffset>
            </wp:positionV>
            <wp:extent cx="5600065" cy="3602355"/>
            <wp:effectExtent l="0" t="0" r="0" b="0"/>
            <wp:wrapTight wrapText="bothSides">
              <wp:wrapPolygon>
                <wp:start x="6995" y="1097"/>
                <wp:lineTo x="6936" y="3929"/>
                <wp:lineTo x="7113" y="4021"/>
                <wp:lineTo x="9640" y="4021"/>
                <wp:lineTo x="7936" y="5391"/>
                <wp:lineTo x="7936" y="8133"/>
                <wp:lineTo x="8288" y="8407"/>
                <wp:lineTo x="9640" y="8407"/>
                <wp:lineTo x="8759" y="9047"/>
                <wp:lineTo x="7936" y="9686"/>
                <wp:lineTo x="7936" y="12336"/>
                <wp:lineTo x="8582" y="12793"/>
                <wp:lineTo x="9581" y="12793"/>
                <wp:lineTo x="9581" y="13616"/>
                <wp:lineTo x="9817" y="14255"/>
                <wp:lineTo x="1999" y="14621"/>
                <wp:lineTo x="1528" y="14712"/>
                <wp:lineTo x="1587" y="15717"/>
                <wp:lineTo x="764" y="15992"/>
                <wp:lineTo x="588" y="16266"/>
                <wp:lineTo x="647" y="20561"/>
                <wp:lineTo x="20926" y="20561"/>
                <wp:lineTo x="20985" y="16357"/>
                <wp:lineTo x="20750" y="15992"/>
                <wp:lineTo x="19986" y="15717"/>
                <wp:lineTo x="20104" y="14712"/>
                <wp:lineTo x="19516" y="14621"/>
                <wp:lineTo x="10287" y="14255"/>
                <wp:lineTo x="10640" y="13616"/>
                <wp:lineTo x="10581" y="12793"/>
                <wp:lineTo x="11521" y="12793"/>
                <wp:lineTo x="12168" y="12245"/>
                <wp:lineTo x="12227" y="9686"/>
                <wp:lineTo x="11698" y="9321"/>
                <wp:lineTo x="9993" y="8407"/>
                <wp:lineTo x="11286" y="8407"/>
                <wp:lineTo x="11698" y="8041"/>
                <wp:lineTo x="11698" y="5483"/>
                <wp:lineTo x="9993" y="4021"/>
                <wp:lineTo x="12462" y="4021"/>
                <wp:lineTo x="12815" y="3838"/>
                <wp:lineTo x="12638" y="1097"/>
                <wp:lineTo x="6995" y="1097"/>
              </wp:wrapPolygon>
            </wp:wrapTight>
            <wp:docPr id="8" name="ECB019B1-382A-4266-B25C-5B523AA43C14-2" descr="C:/Users/HUAWEI/AppData/Local/Temp/wps.IVIsWA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CB019B1-382A-4266-B25C-5B523AA43C14-2" descr="C:/Users/HUAWEI/AppData/Local/Temp/wps.IVIsWAwps"/>
                    <pic:cNvPicPr>
                      <a:picLocks noChangeAspect="1"/>
                    </pic:cNvPicPr>
                  </pic:nvPicPr>
                  <pic:blipFill>
                    <a:blip r:embed="rId28"/>
                    <a:stretch>
                      <a:fillRect/>
                    </a:stretch>
                  </pic:blipFill>
                  <pic:spPr>
                    <a:xfrm>
                      <a:off x="0" y="0"/>
                      <a:ext cx="5600065" cy="3602355"/>
                    </a:xfrm>
                    <a:prstGeom prst="rect">
                      <a:avLst/>
                    </a:prstGeom>
                  </pic:spPr>
                </pic:pic>
              </a:graphicData>
            </a:graphic>
          </wp:anchor>
        </w:drawing>
      </w:r>
      <w:r>
        <w:rPr>
          <w:rFonts w:hint="eastAsia" w:ascii="宋体" w:hAnsi="宋体" w:eastAsia="宋体" w:cs="宋体"/>
          <w:color w:val="0000FF"/>
          <w:spacing w:val="0"/>
          <w:sz w:val="28"/>
          <w:szCs w:val="28"/>
          <w:shd w:val="clear" w:color="FFFFFF" w:fill="D9D9D9"/>
          <w:lang w:val="en-US" w:eastAsia="zh-CN"/>
        </w:rPr>
        <w:t>该公司安全生产领导小组从组长、副组长、组员、负责人等管理层级分明，职责分工明确，安全生产管理措施执行力强，24小时坚持值班（晚上18点至次日8点为电话值班）为实现全公司安全生产管理目标奠定了坚实的基础。</w:t>
      </w:r>
      <w:r>
        <w:rPr>
          <w:rFonts w:hint="eastAsia" w:ascii="宋体" w:hAnsi="宋体" w:eastAsia="宋体" w:cs="宋体"/>
          <w:color w:val="000000" w:themeColor="text1"/>
          <w:spacing w:val="-1"/>
          <w:sz w:val="28"/>
          <w:szCs w:val="28"/>
          <w:shd w:val="clear" w:color="auto" w:fill="auto"/>
          <w14:textFill>
            <w14:solidFill>
              <w14:schemeClr w14:val="tx1"/>
            </w14:solidFill>
          </w14:textFill>
        </w:rPr>
        <w:t>该公司安全生产管理组织机构见下图。</w:t>
      </w:r>
    </w:p>
    <w:p w14:paraId="5986C2E4">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b/>
          <w:bCs/>
          <w:color w:val="000000"/>
          <w:kern w:val="0"/>
          <w:sz w:val="28"/>
          <w:szCs w:val="28"/>
          <w:lang w:val="en-US" w:eastAsia="zh-CN" w:bidi="ar"/>
        </w:rPr>
      </w:pPr>
    </w:p>
    <w:p w14:paraId="12CA90A1">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b/>
          <w:bCs/>
          <w:color w:val="000000"/>
          <w:kern w:val="0"/>
          <w:sz w:val="28"/>
          <w:szCs w:val="28"/>
          <w:lang w:val="en-US" w:eastAsia="zh-CN" w:bidi="ar"/>
        </w:rPr>
      </w:pPr>
    </w:p>
    <w:p w14:paraId="556A3C4A">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543B14A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2871085E">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652B5518">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1C8563D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319D8721">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3FD9B94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9"/>
        <w:rPr>
          <w:rFonts w:hint="eastAsia" w:ascii="宋体" w:hAnsi="宋体" w:eastAsia="宋体" w:cs="宋体"/>
          <w:b/>
          <w:bCs/>
          <w:color w:val="000000"/>
          <w:kern w:val="0"/>
          <w:sz w:val="28"/>
          <w:szCs w:val="28"/>
          <w:lang w:val="en-US" w:eastAsia="zh-CN" w:bidi="ar"/>
        </w:rPr>
      </w:pPr>
    </w:p>
    <w:p w14:paraId="1948D4E1">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color w:val="auto"/>
          <w:kern w:val="0"/>
          <w:sz w:val="28"/>
          <w:szCs w:val="28"/>
          <w:shd w:val="clear" w:color="auto" w:fill="auto"/>
          <w:lang w:val="en-US" w:eastAsia="zh-CN" w:bidi="ar"/>
        </w:rPr>
      </w:pPr>
      <w:bookmarkStart w:id="109" w:name="_Toc13275"/>
      <w:r>
        <w:rPr>
          <w:rFonts w:hint="eastAsia" w:ascii="宋体" w:hAnsi="宋体" w:eastAsia="宋体" w:cs="宋体"/>
          <w:b/>
          <w:bCs/>
          <w:color w:val="auto"/>
          <w:kern w:val="0"/>
          <w:sz w:val="28"/>
          <w:szCs w:val="28"/>
          <w:shd w:val="clear" w:color="auto" w:fill="auto"/>
          <w:lang w:val="en-US" w:eastAsia="zh-CN" w:bidi="ar"/>
        </w:rPr>
        <w:t>2.5.2 安全生产管理制度</w:t>
      </w:r>
      <w:bookmarkEnd w:id="109"/>
      <w:r>
        <w:rPr>
          <w:rFonts w:hint="eastAsia" w:ascii="宋体" w:hAnsi="宋体" w:eastAsia="宋体" w:cs="宋体"/>
          <w:b/>
          <w:bCs/>
          <w:color w:val="auto"/>
          <w:kern w:val="0"/>
          <w:sz w:val="28"/>
          <w:szCs w:val="28"/>
          <w:shd w:val="clear" w:color="auto" w:fill="auto"/>
          <w:lang w:val="en-US" w:eastAsia="zh-CN" w:bidi="ar"/>
        </w:rPr>
        <w:t xml:space="preserve"> </w:t>
      </w:r>
    </w:p>
    <w:p w14:paraId="5B1195B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bCs/>
          <w:color w:val="auto"/>
          <w:kern w:val="0"/>
          <w:sz w:val="28"/>
          <w:szCs w:val="28"/>
          <w:shd w:val="clear" w:color="auto" w:fill="auto"/>
          <w:lang w:val="en-US" w:eastAsia="zh-CN" w:bidi="ar"/>
        </w:rPr>
      </w:pPr>
      <w:r>
        <w:rPr>
          <w:rFonts w:hint="eastAsia" w:ascii="宋体" w:hAnsi="宋体" w:eastAsia="宋体" w:cs="宋体"/>
          <w:color w:val="000000"/>
          <w:kern w:val="0"/>
          <w:sz w:val="28"/>
          <w:szCs w:val="28"/>
          <w:lang w:val="en-US" w:eastAsia="zh-CN" w:bidi="ar"/>
        </w:rPr>
        <w:t>云南</w:t>
      </w:r>
      <w:r>
        <w:rPr>
          <w:rFonts w:hint="eastAsia" w:hAnsi="宋体" w:cs="宋体"/>
          <w:color w:val="000000"/>
          <w:kern w:val="0"/>
          <w:sz w:val="28"/>
          <w:szCs w:val="28"/>
          <w:lang w:val="en-US" w:eastAsia="zh-CN" w:bidi="ar"/>
        </w:rPr>
        <w:t>高机精密数控</w:t>
      </w:r>
      <w:r>
        <w:rPr>
          <w:rFonts w:hint="eastAsia" w:ascii="宋体" w:hAnsi="宋体" w:eastAsia="宋体" w:cs="宋体"/>
          <w:color w:val="000000"/>
          <w:kern w:val="0"/>
          <w:sz w:val="28"/>
          <w:szCs w:val="28"/>
          <w:lang w:val="en-US" w:eastAsia="zh-CN" w:bidi="ar"/>
        </w:rPr>
        <w:t>机床有限公司根据《中华人民共和国安全生产法》、《中华人民共和国劳动法》等安全生产法规，制定了安全生产管理制。</w:t>
      </w:r>
    </w:p>
    <w:p w14:paraId="2520B8D8">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_Toc32591 </w:instrText>
      </w:r>
      <w:r>
        <w:rPr>
          <w:rFonts w:hint="eastAsia" w:ascii="宋体" w:hAnsi="宋体" w:eastAsia="宋体" w:cs="宋体"/>
          <w:sz w:val="28"/>
          <w:szCs w:val="28"/>
        </w:rPr>
        <w:fldChar w:fldCharType="separate"/>
      </w:r>
      <w:r>
        <w:rPr>
          <w:rFonts w:hint="eastAsia" w:ascii="宋体" w:hAnsi="宋体" w:eastAsia="宋体" w:cs="宋体"/>
          <w:sz w:val="28"/>
          <w:szCs w:val="28"/>
        </w:rPr>
        <w:t>一、安全生产目标管理制度</w:t>
      </w:r>
      <w:r>
        <w:rPr>
          <w:rFonts w:hint="eastAsia" w:ascii="宋体" w:hAnsi="宋体" w:eastAsia="宋体" w:cs="宋体"/>
          <w:sz w:val="28"/>
          <w:szCs w:val="28"/>
        </w:rPr>
        <w:fldChar w:fldCharType="end"/>
      </w:r>
    </w:p>
    <w:p w14:paraId="4B9C7D60">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_Toc1365 </w:instrText>
      </w:r>
      <w:r>
        <w:rPr>
          <w:rFonts w:hint="eastAsia" w:ascii="宋体" w:hAnsi="宋体" w:eastAsia="宋体" w:cs="宋体"/>
          <w:sz w:val="28"/>
          <w:szCs w:val="28"/>
        </w:rPr>
        <w:fldChar w:fldCharType="separate"/>
      </w:r>
      <w:r>
        <w:rPr>
          <w:rFonts w:hint="eastAsia" w:ascii="宋体" w:hAnsi="宋体" w:eastAsia="宋体" w:cs="宋体"/>
          <w:sz w:val="28"/>
          <w:szCs w:val="28"/>
        </w:rPr>
        <w:t>二、安全管理机构设置及安全管理人员配置管理制度</w:t>
      </w:r>
      <w:r>
        <w:rPr>
          <w:rFonts w:hint="eastAsia" w:ascii="宋体" w:hAnsi="宋体" w:eastAsia="宋体" w:cs="宋体"/>
          <w:sz w:val="28"/>
          <w:szCs w:val="28"/>
        </w:rPr>
        <w:fldChar w:fldCharType="end"/>
      </w:r>
    </w:p>
    <w:p w14:paraId="1365322A">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_Toc8658 </w:instrText>
      </w:r>
      <w:r>
        <w:rPr>
          <w:rFonts w:hint="eastAsia" w:ascii="宋体" w:hAnsi="宋体" w:eastAsia="宋体" w:cs="宋体"/>
          <w:sz w:val="28"/>
          <w:szCs w:val="28"/>
        </w:rPr>
        <w:fldChar w:fldCharType="separate"/>
      </w:r>
      <w:r>
        <w:rPr>
          <w:rFonts w:hint="eastAsia" w:ascii="宋体" w:hAnsi="宋体" w:eastAsia="宋体" w:cs="宋体"/>
          <w:sz w:val="28"/>
          <w:szCs w:val="28"/>
        </w:rPr>
        <w:t>三、文件和档案管理制度</w:t>
      </w:r>
      <w:r>
        <w:rPr>
          <w:rFonts w:hint="eastAsia" w:ascii="宋体" w:hAnsi="宋体" w:eastAsia="宋体" w:cs="宋体"/>
          <w:sz w:val="28"/>
          <w:szCs w:val="28"/>
        </w:rPr>
        <w:fldChar w:fldCharType="end"/>
      </w:r>
    </w:p>
    <w:p w14:paraId="36B39D69">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_Toc30883 </w:instrText>
      </w:r>
      <w:r>
        <w:rPr>
          <w:rFonts w:hint="eastAsia" w:ascii="宋体" w:hAnsi="宋体" w:eastAsia="宋体" w:cs="宋体"/>
          <w:sz w:val="28"/>
          <w:szCs w:val="28"/>
        </w:rPr>
        <w:fldChar w:fldCharType="separate"/>
      </w:r>
      <w:r>
        <w:rPr>
          <w:rFonts w:hint="eastAsia" w:ascii="宋体" w:hAnsi="宋体" w:eastAsia="宋体" w:cs="宋体"/>
          <w:sz w:val="28"/>
          <w:szCs w:val="28"/>
        </w:rPr>
        <w:t>四、领导现场带班管理制度</w:t>
      </w:r>
      <w:r>
        <w:rPr>
          <w:rFonts w:hint="eastAsia" w:ascii="宋体" w:hAnsi="宋体" w:eastAsia="宋体" w:cs="宋体"/>
          <w:sz w:val="28"/>
          <w:szCs w:val="28"/>
        </w:rPr>
        <w:fldChar w:fldCharType="end"/>
      </w:r>
    </w:p>
    <w:p w14:paraId="0BBCCB4B">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_Toc1926 </w:instrText>
      </w:r>
      <w:r>
        <w:rPr>
          <w:rFonts w:hint="eastAsia" w:ascii="宋体" w:hAnsi="宋体" w:eastAsia="宋体" w:cs="宋体"/>
          <w:sz w:val="28"/>
          <w:szCs w:val="28"/>
        </w:rPr>
        <w:fldChar w:fldCharType="separate"/>
      </w:r>
      <w:r>
        <w:rPr>
          <w:rFonts w:hint="eastAsia" w:ascii="宋体" w:hAnsi="宋体" w:eastAsia="宋体" w:cs="宋体"/>
          <w:sz w:val="28"/>
          <w:szCs w:val="28"/>
        </w:rPr>
        <w:t>五、安全生产责任制管理制度</w:t>
      </w:r>
      <w:r>
        <w:rPr>
          <w:rFonts w:hint="eastAsia" w:ascii="宋体" w:hAnsi="宋体" w:eastAsia="宋体" w:cs="宋体"/>
          <w:sz w:val="28"/>
          <w:szCs w:val="28"/>
        </w:rPr>
        <w:fldChar w:fldCharType="end"/>
      </w:r>
    </w:p>
    <w:p w14:paraId="09C2CCBA">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_Toc6215 </w:instrText>
      </w:r>
      <w:r>
        <w:rPr>
          <w:rFonts w:hint="eastAsia" w:ascii="宋体" w:hAnsi="宋体" w:eastAsia="宋体" w:cs="宋体"/>
          <w:sz w:val="28"/>
          <w:szCs w:val="28"/>
        </w:rPr>
        <w:fldChar w:fldCharType="separate"/>
      </w:r>
      <w:r>
        <w:rPr>
          <w:rFonts w:hint="eastAsia" w:ascii="宋体" w:hAnsi="宋体" w:eastAsia="宋体" w:cs="宋体"/>
          <w:sz w:val="28"/>
          <w:szCs w:val="28"/>
        </w:rPr>
        <w:t>六、安全生产会议管理制度</w:t>
      </w:r>
      <w:r>
        <w:rPr>
          <w:rFonts w:hint="eastAsia" w:ascii="宋体" w:hAnsi="宋体" w:eastAsia="宋体" w:cs="宋体"/>
          <w:sz w:val="28"/>
          <w:szCs w:val="28"/>
        </w:rPr>
        <w:fldChar w:fldCharType="end"/>
      </w:r>
    </w:p>
    <w:p w14:paraId="57A417BD">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_Toc1908 </w:instrText>
      </w:r>
      <w:r>
        <w:rPr>
          <w:rFonts w:hint="eastAsia" w:ascii="宋体" w:hAnsi="宋体" w:eastAsia="宋体" w:cs="宋体"/>
          <w:sz w:val="28"/>
          <w:szCs w:val="28"/>
        </w:rPr>
        <w:fldChar w:fldCharType="separate"/>
      </w:r>
      <w:r>
        <w:rPr>
          <w:rFonts w:hint="eastAsia" w:ascii="宋体" w:hAnsi="宋体" w:eastAsia="宋体" w:cs="宋体"/>
          <w:sz w:val="28"/>
          <w:szCs w:val="28"/>
        </w:rPr>
        <w:t>七、安全投入管理制度</w:t>
      </w:r>
      <w:r>
        <w:rPr>
          <w:rFonts w:hint="eastAsia" w:ascii="宋体" w:hAnsi="宋体" w:eastAsia="宋体" w:cs="宋体"/>
          <w:sz w:val="28"/>
          <w:szCs w:val="28"/>
        </w:rPr>
        <w:fldChar w:fldCharType="end"/>
      </w:r>
    </w:p>
    <w:p w14:paraId="6E2EC8EF">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_Toc2191 </w:instrText>
      </w:r>
      <w:r>
        <w:rPr>
          <w:rFonts w:hint="eastAsia" w:ascii="宋体" w:hAnsi="宋体" w:eastAsia="宋体" w:cs="宋体"/>
          <w:sz w:val="28"/>
          <w:szCs w:val="28"/>
        </w:rPr>
        <w:fldChar w:fldCharType="separate"/>
      </w:r>
      <w:r>
        <w:rPr>
          <w:rFonts w:hint="eastAsia" w:ascii="宋体" w:hAnsi="宋体" w:eastAsia="宋体" w:cs="宋体"/>
          <w:sz w:val="28"/>
          <w:szCs w:val="28"/>
        </w:rPr>
        <w:t>八、工伤保险管理制度</w:t>
      </w:r>
      <w:r>
        <w:rPr>
          <w:rFonts w:hint="eastAsia" w:ascii="宋体" w:hAnsi="宋体" w:eastAsia="宋体" w:cs="宋体"/>
          <w:sz w:val="28"/>
          <w:szCs w:val="28"/>
        </w:rPr>
        <w:fldChar w:fldCharType="end"/>
      </w:r>
    </w:p>
    <w:p w14:paraId="68A58FDA">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_Toc16524 </w:instrText>
      </w:r>
      <w:r>
        <w:rPr>
          <w:rFonts w:hint="eastAsia" w:ascii="宋体" w:hAnsi="宋体" w:eastAsia="宋体" w:cs="宋体"/>
          <w:sz w:val="28"/>
          <w:szCs w:val="28"/>
        </w:rPr>
        <w:fldChar w:fldCharType="separate"/>
      </w:r>
      <w:r>
        <w:rPr>
          <w:rFonts w:hint="eastAsia" w:ascii="宋体" w:hAnsi="宋体" w:eastAsia="宋体" w:cs="宋体"/>
          <w:sz w:val="28"/>
          <w:szCs w:val="28"/>
        </w:rPr>
        <w:t>九、安全生产法律法规及其他要求管理制度</w:t>
      </w:r>
      <w:r>
        <w:rPr>
          <w:rFonts w:hint="eastAsia" w:ascii="宋体" w:hAnsi="宋体" w:eastAsia="宋体" w:cs="宋体"/>
          <w:sz w:val="28"/>
          <w:szCs w:val="28"/>
        </w:rPr>
        <w:fldChar w:fldCharType="end"/>
      </w:r>
    </w:p>
    <w:p w14:paraId="64FA17CF">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_Toc12565 </w:instrText>
      </w:r>
      <w:r>
        <w:rPr>
          <w:rFonts w:hint="eastAsia" w:ascii="宋体" w:hAnsi="宋体" w:eastAsia="宋体" w:cs="宋体"/>
          <w:sz w:val="28"/>
          <w:szCs w:val="28"/>
        </w:rPr>
        <w:fldChar w:fldCharType="separate"/>
      </w:r>
      <w:r>
        <w:rPr>
          <w:rFonts w:hint="eastAsia" w:ascii="宋体" w:hAnsi="宋体" w:eastAsia="宋体" w:cs="宋体"/>
          <w:sz w:val="28"/>
          <w:szCs w:val="28"/>
        </w:rPr>
        <w:t>十、安全教育培训管理制度</w:t>
      </w:r>
      <w:r>
        <w:rPr>
          <w:rFonts w:hint="eastAsia" w:ascii="宋体" w:hAnsi="宋体" w:eastAsia="宋体" w:cs="宋体"/>
          <w:sz w:val="28"/>
          <w:szCs w:val="28"/>
        </w:rPr>
        <w:fldChar w:fldCharType="end"/>
      </w:r>
    </w:p>
    <w:p w14:paraId="0BC4034B">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_Toc30379 </w:instrText>
      </w:r>
      <w:r>
        <w:rPr>
          <w:rFonts w:hint="eastAsia" w:ascii="宋体" w:hAnsi="宋体" w:eastAsia="宋体" w:cs="宋体"/>
          <w:sz w:val="28"/>
          <w:szCs w:val="28"/>
        </w:rPr>
        <w:fldChar w:fldCharType="separate"/>
      </w:r>
      <w:r>
        <w:rPr>
          <w:rFonts w:hint="eastAsia" w:ascii="宋体" w:hAnsi="宋体" w:eastAsia="宋体" w:cs="宋体"/>
          <w:sz w:val="28"/>
          <w:szCs w:val="28"/>
        </w:rPr>
        <w:t>十一、建设项目“三同时”管理制度</w:t>
      </w:r>
      <w:r>
        <w:rPr>
          <w:rFonts w:hint="eastAsia" w:ascii="宋体" w:hAnsi="宋体" w:eastAsia="宋体" w:cs="宋体"/>
          <w:sz w:val="28"/>
          <w:szCs w:val="28"/>
        </w:rPr>
        <w:fldChar w:fldCharType="end"/>
      </w:r>
    </w:p>
    <w:p w14:paraId="1E854382">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_Toc32332 </w:instrText>
      </w:r>
      <w:r>
        <w:rPr>
          <w:rFonts w:hint="eastAsia" w:ascii="宋体" w:hAnsi="宋体" w:eastAsia="宋体" w:cs="宋体"/>
          <w:sz w:val="28"/>
          <w:szCs w:val="28"/>
        </w:rPr>
        <w:fldChar w:fldCharType="separate"/>
      </w:r>
      <w:r>
        <w:rPr>
          <w:rFonts w:hint="eastAsia" w:ascii="宋体" w:hAnsi="宋体" w:eastAsia="宋体" w:cs="宋体"/>
          <w:sz w:val="28"/>
          <w:szCs w:val="28"/>
        </w:rPr>
        <w:t>十二、“三违”行为管理制度</w:t>
      </w:r>
      <w:r>
        <w:rPr>
          <w:rFonts w:hint="eastAsia" w:ascii="宋体" w:hAnsi="宋体" w:eastAsia="宋体" w:cs="宋体"/>
          <w:sz w:val="28"/>
          <w:szCs w:val="28"/>
        </w:rPr>
        <w:fldChar w:fldCharType="end"/>
      </w:r>
    </w:p>
    <w:p w14:paraId="150263C1">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_Toc17518 </w:instrText>
      </w:r>
      <w:r>
        <w:rPr>
          <w:rFonts w:hint="eastAsia" w:ascii="宋体" w:hAnsi="宋体" w:eastAsia="宋体" w:cs="宋体"/>
          <w:sz w:val="28"/>
          <w:szCs w:val="28"/>
        </w:rPr>
        <w:fldChar w:fldCharType="separate"/>
      </w:r>
      <w:r>
        <w:rPr>
          <w:rFonts w:hint="eastAsia" w:ascii="宋体" w:hAnsi="宋体" w:eastAsia="宋体" w:cs="宋体"/>
          <w:sz w:val="28"/>
          <w:szCs w:val="28"/>
        </w:rPr>
        <w:t>十三、临时用电作业管理制度</w:t>
      </w:r>
      <w:r>
        <w:rPr>
          <w:rFonts w:hint="eastAsia" w:ascii="宋体" w:hAnsi="宋体" w:eastAsia="宋体" w:cs="宋体"/>
          <w:sz w:val="28"/>
          <w:szCs w:val="28"/>
        </w:rPr>
        <w:fldChar w:fldCharType="end"/>
      </w:r>
    </w:p>
    <w:p w14:paraId="6E674304">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_Toc26730 </w:instrText>
      </w:r>
      <w:r>
        <w:rPr>
          <w:rFonts w:hint="eastAsia" w:ascii="宋体" w:hAnsi="宋体" w:eastAsia="宋体" w:cs="宋体"/>
          <w:sz w:val="28"/>
          <w:szCs w:val="28"/>
        </w:rPr>
        <w:fldChar w:fldCharType="separate"/>
      </w:r>
      <w:r>
        <w:rPr>
          <w:rFonts w:hint="eastAsia" w:ascii="宋体" w:hAnsi="宋体" w:eastAsia="宋体" w:cs="宋体"/>
          <w:sz w:val="28"/>
          <w:szCs w:val="28"/>
        </w:rPr>
        <w:t>十四、吊装作业管理制度</w:t>
      </w:r>
      <w:r>
        <w:rPr>
          <w:rFonts w:hint="eastAsia" w:ascii="宋体" w:hAnsi="宋体" w:eastAsia="宋体" w:cs="宋体"/>
          <w:sz w:val="28"/>
          <w:szCs w:val="28"/>
        </w:rPr>
        <w:fldChar w:fldCharType="end"/>
      </w:r>
    </w:p>
    <w:p w14:paraId="5448A413">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_Toc12543 </w:instrText>
      </w:r>
      <w:r>
        <w:rPr>
          <w:rFonts w:hint="eastAsia" w:ascii="宋体" w:hAnsi="宋体" w:eastAsia="宋体" w:cs="宋体"/>
          <w:sz w:val="28"/>
          <w:szCs w:val="28"/>
        </w:rPr>
        <w:fldChar w:fldCharType="separate"/>
      </w:r>
      <w:r>
        <w:rPr>
          <w:rFonts w:hint="eastAsia" w:ascii="宋体" w:hAnsi="宋体" w:eastAsia="宋体" w:cs="宋体"/>
          <w:sz w:val="28"/>
          <w:szCs w:val="28"/>
        </w:rPr>
        <w:t>十五、操作牌管理制度</w:t>
      </w:r>
      <w:r>
        <w:rPr>
          <w:rFonts w:hint="eastAsia" w:ascii="宋体" w:hAnsi="宋体" w:eastAsia="宋体" w:cs="宋体"/>
          <w:sz w:val="28"/>
          <w:szCs w:val="28"/>
        </w:rPr>
        <w:fldChar w:fldCharType="end"/>
      </w:r>
    </w:p>
    <w:p w14:paraId="0901CDA7">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_Toc12948 </w:instrText>
      </w:r>
      <w:r>
        <w:rPr>
          <w:rFonts w:hint="eastAsia" w:ascii="宋体" w:hAnsi="宋体" w:eastAsia="宋体" w:cs="宋体"/>
          <w:sz w:val="28"/>
          <w:szCs w:val="28"/>
        </w:rPr>
        <w:fldChar w:fldCharType="separate"/>
      </w:r>
      <w:r>
        <w:rPr>
          <w:rFonts w:hint="eastAsia" w:ascii="宋体" w:hAnsi="宋体" w:eastAsia="宋体" w:cs="宋体"/>
          <w:sz w:val="28"/>
          <w:szCs w:val="28"/>
        </w:rPr>
        <w:t>十六、施工和检维修安全管理制度</w:t>
      </w:r>
      <w:r>
        <w:rPr>
          <w:rFonts w:hint="eastAsia" w:ascii="宋体" w:hAnsi="宋体" w:eastAsia="宋体" w:cs="宋体"/>
          <w:sz w:val="28"/>
          <w:szCs w:val="28"/>
        </w:rPr>
        <w:fldChar w:fldCharType="end"/>
      </w:r>
    </w:p>
    <w:p w14:paraId="4E39C9B3">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_Toc28938 </w:instrText>
      </w:r>
      <w:r>
        <w:rPr>
          <w:rFonts w:hint="eastAsia" w:ascii="宋体" w:hAnsi="宋体" w:eastAsia="宋体" w:cs="宋体"/>
          <w:sz w:val="28"/>
          <w:szCs w:val="28"/>
        </w:rPr>
        <w:fldChar w:fldCharType="separate"/>
      </w:r>
      <w:r>
        <w:rPr>
          <w:rFonts w:hint="eastAsia" w:ascii="宋体" w:hAnsi="宋体" w:eastAsia="宋体" w:cs="宋体"/>
          <w:sz w:val="28"/>
          <w:szCs w:val="28"/>
        </w:rPr>
        <w:t>十七、安全风险分级管控制度</w:t>
      </w:r>
      <w:r>
        <w:rPr>
          <w:rFonts w:hint="eastAsia" w:ascii="宋体" w:hAnsi="宋体" w:eastAsia="宋体" w:cs="宋体"/>
          <w:sz w:val="28"/>
          <w:szCs w:val="28"/>
        </w:rPr>
        <w:fldChar w:fldCharType="end"/>
      </w:r>
    </w:p>
    <w:p w14:paraId="159E4E2A">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_Toc11384 </w:instrText>
      </w:r>
      <w:r>
        <w:rPr>
          <w:rFonts w:hint="eastAsia" w:ascii="宋体" w:hAnsi="宋体" w:eastAsia="宋体" w:cs="宋体"/>
          <w:sz w:val="28"/>
          <w:szCs w:val="28"/>
        </w:rPr>
        <w:fldChar w:fldCharType="separate"/>
      </w:r>
      <w:r>
        <w:rPr>
          <w:rFonts w:hint="eastAsia" w:ascii="宋体" w:hAnsi="宋体" w:eastAsia="宋体" w:cs="宋体"/>
          <w:sz w:val="28"/>
          <w:szCs w:val="28"/>
        </w:rPr>
        <w:t>十八、设备设施安全管理制度</w:t>
      </w:r>
      <w:r>
        <w:rPr>
          <w:rFonts w:hint="eastAsia" w:ascii="宋体" w:hAnsi="宋体" w:eastAsia="宋体" w:cs="宋体"/>
          <w:sz w:val="28"/>
          <w:szCs w:val="28"/>
        </w:rPr>
        <w:fldChar w:fldCharType="end"/>
      </w:r>
    </w:p>
    <w:p w14:paraId="4168553C">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_Toc5229 </w:instrText>
      </w:r>
      <w:r>
        <w:rPr>
          <w:rFonts w:hint="eastAsia" w:ascii="宋体" w:hAnsi="宋体" w:eastAsia="宋体" w:cs="宋体"/>
          <w:sz w:val="28"/>
          <w:szCs w:val="28"/>
        </w:rPr>
        <w:fldChar w:fldCharType="separate"/>
      </w:r>
      <w:r>
        <w:rPr>
          <w:rFonts w:hint="eastAsia" w:ascii="宋体" w:hAnsi="宋体" w:eastAsia="宋体" w:cs="宋体"/>
          <w:sz w:val="28"/>
          <w:szCs w:val="28"/>
        </w:rPr>
        <w:t>十九、新设备设施验收管理制度</w:t>
      </w:r>
      <w:r>
        <w:rPr>
          <w:rFonts w:hint="eastAsia" w:ascii="宋体" w:hAnsi="宋体" w:eastAsia="宋体" w:cs="宋体"/>
          <w:sz w:val="28"/>
          <w:szCs w:val="28"/>
        </w:rPr>
        <w:fldChar w:fldCharType="end"/>
      </w:r>
    </w:p>
    <w:p w14:paraId="239765BC">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_Toc20928 </w:instrText>
      </w:r>
      <w:r>
        <w:rPr>
          <w:rFonts w:hint="eastAsia" w:ascii="宋体" w:hAnsi="宋体" w:eastAsia="宋体" w:cs="宋体"/>
          <w:sz w:val="28"/>
          <w:szCs w:val="28"/>
        </w:rPr>
        <w:fldChar w:fldCharType="separate"/>
      </w:r>
      <w:r>
        <w:rPr>
          <w:rFonts w:hint="eastAsia" w:ascii="宋体" w:hAnsi="宋体" w:eastAsia="宋体" w:cs="宋体"/>
          <w:sz w:val="28"/>
          <w:szCs w:val="28"/>
        </w:rPr>
        <w:t>二十、劳动防护用品管理制度</w:t>
      </w:r>
      <w:r>
        <w:rPr>
          <w:rFonts w:hint="eastAsia" w:ascii="宋体" w:hAnsi="宋体" w:eastAsia="宋体" w:cs="宋体"/>
          <w:sz w:val="28"/>
          <w:szCs w:val="28"/>
        </w:rPr>
        <w:fldChar w:fldCharType="end"/>
      </w:r>
    </w:p>
    <w:p w14:paraId="283717A2">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_Toc11880 </w:instrText>
      </w:r>
      <w:r>
        <w:rPr>
          <w:rFonts w:hint="eastAsia" w:ascii="宋体" w:hAnsi="宋体" w:eastAsia="宋体" w:cs="宋体"/>
          <w:sz w:val="28"/>
          <w:szCs w:val="28"/>
        </w:rPr>
        <w:fldChar w:fldCharType="separate"/>
      </w:r>
      <w:r>
        <w:rPr>
          <w:rFonts w:hint="eastAsia" w:ascii="宋体" w:hAnsi="宋体" w:eastAsia="宋体" w:cs="宋体"/>
          <w:sz w:val="28"/>
          <w:szCs w:val="28"/>
        </w:rPr>
        <w:t>二十一、安全警示标志管理制度</w:t>
      </w:r>
      <w:r>
        <w:rPr>
          <w:rFonts w:hint="eastAsia" w:ascii="宋体" w:hAnsi="宋体" w:eastAsia="宋体" w:cs="宋体"/>
          <w:sz w:val="28"/>
          <w:szCs w:val="28"/>
        </w:rPr>
        <w:fldChar w:fldCharType="end"/>
      </w:r>
    </w:p>
    <w:p w14:paraId="00840DF7">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_Toc15864 </w:instrText>
      </w:r>
      <w:r>
        <w:rPr>
          <w:rFonts w:hint="eastAsia" w:ascii="宋体" w:hAnsi="宋体" w:eastAsia="宋体" w:cs="宋体"/>
          <w:sz w:val="28"/>
          <w:szCs w:val="28"/>
        </w:rPr>
        <w:fldChar w:fldCharType="separate"/>
      </w:r>
      <w:r>
        <w:rPr>
          <w:rFonts w:hint="eastAsia" w:ascii="宋体" w:hAnsi="宋体" w:eastAsia="宋体" w:cs="宋体"/>
          <w:sz w:val="28"/>
          <w:szCs w:val="28"/>
        </w:rPr>
        <w:t>二十二、安全设施管理制度</w:t>
      </w:r>
      <w:r>
        <w:rPr>
          <w:rFonts w:hint="eastAsia" w:ascii="宋体" w:hAnsi="宋体" w:eastAsia="宋体" w:cs="宋体"/>
          <w:sz w:val="28"/>
          <w:szCs w:val="28"/>
        </w:rPr>
        <w:fldChar w:fldCharType="end"/>
      </w:r>
    </w:p>
    <w:p w14:paraId="56F7E268">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_Toc13404 </w:instrText>
      </w:r>
      <w:r>
        <w:rPr>
          <w:rFonts w:hint="eastAsia" w:ascii="宋体" w:hAnsi="宋体" w:eastAsia="宋体" w:cs="宋体"/>
          <w:sz w:val="28"/>
          <w:szCs w:val="28"/>
        </w:rPr>
        <w:fldChar w:fldCharType="separate"/>
      </w:r>
      <w:r>
        <w:rPr>
          <w:rFonts w:hint="eastAsia" w:ascii="宋体" w:hAnsi="宋体" w:eastAsia="宋体" w:cs="宋体"/>
          <w:sz w:val="28"/>
          <w:szCs w:val="28"/>
        </w:rPr>
        <w:t>二十三、相关方安全管理制度</w:t>
      </w:r>
      <w:r>
        <w:rPr>
          <w:rFonts w:hint="eastAsia" w:ascii="宋体" w:hAnsi="宋体" w:eastAsia="宋体" w:cs="宋体"/>
          <w:sz w:val="28"/>
          <w:szCs w:val="28"/>
        </w:rPr>
        <w:fldChar w:fldCharType="end"/>
      </w:r>
    </w:p>
    <w:p w14:paraId="171810A6">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_Toc24808 </w:instrText>
      </w:r>
      <w:r>
        <w:rPr>
          <w:rFonts w:hint="eastAsia" w:ascii="宋体" w:hAnsi="宋体" w:eastAsia="宋体" w:cs="宋体"/>
          <w:sz w:val="28"/>
          <w:szCs w:val="28"/>
        </w:rPr>
        <w:fldChar w:fldCharType="separate"/>
      </w:r>
      <w:r>
        <w:rPr>
          <w:rFonts w:hint="eastAsia" w:ascii="宋体" w:hAnsi="宋体" w:eastAsia="宋体" w:cs="宋体"/>
          <w:sz w:val="28"/>
          <w:szCs w:val="28"/>
        </w:rPr>
        <w:t>二十四、岗位达标管理制度</w:t>
      </w:r>
      <w:r>
        <w:rPr>
          <w:rFonts w:hint="eastAsia" w:ascii="宋体" w:hAnsi="宋体" w:eastAsia="宋体" w:cs="宋体"/>
          <w:sz w:val="28"/>
          <w:szCs w:val="28"/>
        </w:rPr>
        <w:fldChar w:fldCharType="end"/>
      </w:r>
    </w:p>
    <w:p w14:paraId="1E216FF2">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_Toc28494 </w:instrText>
      </w:r>
      <w:r>
        <w:rPr>
          <w:rFonts w:hint="eastAsia" w:ascii="宋体" w:hAnsi="宋体" w:eastAsia="宋体" w:cs="宋体"/>
          <w:sz w:val="28"/>
          <w:szCs w:val="28"/>
        </w:rPr>
        <w:fldChar w:fldCharType="separate"/>
      </w:r>
      <w:r>
        <w:rPr>
          <w:rFonts w:hint="eastAsia" w:ascii="宋体" w:hAnsi="宋体" w:eastAsia="宋体" w:cs="宋体"/>
          <w:sz w:val="28"/>
          <w:szCs w:val="28"/>
        </w:rPr>
        <w:t>二十五、变更管理制度</w:t>
      </w:r>
      <w:r>
        <w:rPr>
          <w:rFonts w:hint="eastAsia" w:ascii="宋体" w:hAnsi="宋体" w:eastAsia="宋体" w:cs="宋体"/>
          <w:sz w:val="28"/>
          <w:szCs w:val="28"/>
        </w:rPr>
        <w:fldChar w:fldCharType="end"/>
      </w:r>
    </w:p>
    <w:p w14:paraId="2406838D">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_Toc32364 </w:instrText>
      </w:r>
      <w:r>
        <w:rPr>
          <w:rFonts w:hint="eastAsia" w:ascii="宋体" w:hAnsi="宋体" w:eastAsia="宋体" w:cs="宋体"/>
          <w:sz w:val="28"/>
          <w:szCs w:val="28"/>
        </w:rPr>
        <w:fldChar w:fldCharType="separate"/>
      </w:r>
      <w:r>
        <w:rPr>
          <w:rFonts w:hint="eastAsia" w:ascii="宋体" w:hAnsi="宋体" w:eastAsia="宋体" w:cs="宋体"/>
          <w:sz w:val="28"/>
          <w:szCs w:val="28"/>
        </w:rPr>
        <w:t>二十六、安全检查与隐患整改管理制度</w:t>
      </w:r>
      <w:r>
        <w:rPr>
          <w:rFonts w:hint="eastAsia" w:ascii="宋体" w:hAnsi="宋体" w:eastAsia="宋体" w:cs="宋体"/>
          <w:sz w:val="28"/>
          <w:szCs w:val="28"/>
        </w:rPr>
        <w:fldChar w:fldCharType="end"/>
      </w:r>
    </w:p>
    <w:p w14:paraId="1101B3EB">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_Toc32466 </w:instrText>
      </w:r>
      <w:r>
        <w:rPr>
          <w:rFonts w:hint="eastAsia" w:ascii="宋体" w:hAnsi="宋体" w:eastAsia="宋体" w:cs="宋体"/>
          <w:sz w:val="28"/>
          <w:szCs w:val="28"/>
        </w:rPr>
        <w:fldChar w:fldCharType="separate"/>
      </w:r>
      <w:r>
        <w:rPr>
          <w:rFonts w:hint="eastAsia" w:ascii="宋体" w:hAnsi="宋体" w:eastAsia="宋体" w:cs="宋体"/>
          <w:sz w:val="28"/>
          <w:szCs w:val="28"/>
        </w:rPr>
        <w:t>二十七、事故应急救援管理制度</w:t>
      </w:r>
      <w:r>
        <w:rPr>
          <w:rFonts w:hint="eastAsia" w:ascii="宋体" w:hAnsi="宋体" w:eastAsia="宋体" w:cs="宋体"/>
          <w:sz w:val="28"/>
          <w:szCs w:val="28"/>
        </w:rPr>
        <w:fldChar w:fldCharType="end"/>
      </w:r>
    </w:p>
    <w:p w14:paraId="44E7FE46">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_Toc7756 </w:instrText>
      </w:r>
      <w:r>
        <w:rPr>
          <w:rFonts w:hint="eastAsia" w:ascii="宋体" w:hAnsi="宋体" w:eastAsia="宋体" w:cs="宋体"/>
          <w:sz w:val="28"/>
          <w:szCs w:val="28"/>
        </w:rPr>
        <w:fldChar w:fldCharType="separate"/>
      </w:r>
      <w:r>
        <w:rPr>
          <w:rFonts w:hint="eastAsia" w:ascii="宋体" w:hAnsi="宋体" w:eastAsia="宋体" w:cs="宋体"/>
          <w:sz w:val="28"/>
          <w:szCs w:val="28"/>
        </w:rPr>
        <w:t>二十八、事件、事故管理制度</w:t>
      </w:r>
      <w:r>
        <w:rPr>
          <w:rFonts w:hint="eastAsia" w:ascii="宋体" w:hAnsi="宋体" w:eastAsia="宋体" w:cs="宋体"/>
          <w:sz w:val="28"/>
          <w:szCs w:val="28"/>
        </w:rPr>
        <w:fldChar w:fldCharType="end"/>
      </w:r>
    </w:p>
    <w:p w14:paraId="4EBE6435">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_Toc8206 </w:instrText>
      </w:r>
      <w:r>
        <w:rPr>
          <w:rFonts w:hint="eastAsia" w:ascii="宋体" w:hAnsi="宋体" w:eastAsia="宋体" w:cs="宋体"/>
          <w:sz w:val="28"/>
          <w:szCs w:val="28"/>
        </w:rPr>
        <w:fldChar w:fldCharType="separate"/>
      </w:r>
      <w:r>
        <w:rPr>
          <w:rFonts w:hint="eastAsia" w:ascii="宋体" w:hAnsi="宋体" w:eastAsia="宋体" w:cs="宋体"/>
          <w:sz w:val="28"/>
          <w:szCs w:val="28"/>
        </w:rPr>
        <w:t>二十九、安全生产标准化绩效评定管理制度</w:t>
      </w:r>
      <w:r>
        <w:rPr>
          <w:rFonts w:hint="eastAsia" w:ascii="宋体" w:hAnsi="宋体" w:eastAsia="宋体" w:cs="宋体"/>
          <w:sz w:val="28"/>
          <w:szCs w:val="28"/>
        </w:rPr>
        <w:fldChar w:fldCharType="end"/>
      </w:r>
    </w:p>
    <w:p w14:paraId="1914ABEE">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_Toc29608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三十</w:t>
      </w:r>
      <w:r>
        <w:rPr>
          <w:rFonts w:hint="eastAsia" w:ascii="宋体" w:hAnsi="宋体" w:eastAsia="宋体" w:cs="宋体"/>
          <w:sz w:val="28"/>
          <w:szCs w:val="28"/>
        </w:rPr>
        <w:t>、消防安全管理制度</w:t>
      </w:r>
      <w:r>
        <w:rPr>
          <w:rFonts w:hint="eastAsia" w:ascii="宋体" w:hAnsi="宋体" w:eastAsia="宋体" w:cs="宋体"/>
          <w:sz w:val="28"/>
          <w:szCs w:val="28"/>
        </w:rPr>
        <w:fldChar w:fldCharType="end"/>
      </w:r>
    </w:p>
    <w:p w14:paraId="077AAF08">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_Toc16872 </w:instrText>
      </w:r>
      <w:r>
        <w:rPr>
          <w:rFonts w:hint="eastAsia" w:ascii="宋体" w:hAnsi="宋体" w:eastAsia="宋体" w:cs="宋体"/>
          <w:sz w:val="28"/>
          <w:szCs w:val="28"/>
        </w:rPr>
        <w:fldChar w:fldCharType="separate"/>
      </w:r>
      <w:r>
        <w:rPr>
          <w:rFonts w:hint="eastAsia" w:ascii="宋体" w:hAnsi="宋体" w:eastAsia="宋体" w:cs="宋体"/>
          <w:sz w:val="28"/>
          <w:szCs w:val="28"/>
        </w:rPr>
        <w:t>三十</w:t>
      </w:r>
      <w:r>
        <w:rPr>
          <w:rFonts w:hint="eastAsia" w:ascii="宋体" w:hAnsi="宋体" w:eastAsia="宋体" w:cs="宋体"/>
          <w:sz w:val="28"/>
          <w:szCs w:val="28"/>
          <w:lang w:val="en-US" w:eastAsia="zh-CN"/>
        </w:rPr>
        <w:t>一</w:t>
      </w:r>
      <w:r>
        <w:rPr>
          <w:rFonts w:hint="eastAsia" w:ascii="宋体" w:hAnsi="宋体" w:eastAsia="宋体" w:cs="宋体"/>
          <w:sz w:val="28"/>
          <w:szCs w:val="28"/>
        </w:rPr>
        <w:t>、安全生产奖惩管理制度</w:t>
      </w:r>
      <w:r>
        <w:rPr>
          <w:rFonts w:hint="eastAsia" w:ascii="宋体" w:hAnsi="宋体" w:eastAsia="宋体" w:cs="宋体"/>
          <w:sz w:val="28"/>
          <w:szCs w:val="28"/>
        </w:rPr>
        <w:fldChar w:fldCharType="end"/>
      </w:r>
    </w:p>
    <w:p w14:paraId="19EEB4A7">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_Toc16626 </w:instrText>
      </w:r>
      <w:r>
        <w:rPr>
          <w:rFonts w:hint="eastAsia" w:ascii="宋体" w:hAnsi="宋体" w:eastAsia="宋体" w:cs="宋体"/>
          <w:sz w:val="28"/>
          <w:szCs w:val="28"/>
        </w:rPr>
        <w:fldChar w:fldCharType="separate"/>
      </w:r>
      <w:r>
        <w:rPr>
          <w:rFonts w:hint="eastAsia" w:ascii="宋体" w:hAnsi="宋体" w:eastAsia="宋体" w:cs="宋体"/>
          <w:sz w:val="28"/>
          <w:szCs w:val="28"/>
        </w:rPr>
        <w:t>三十</w:t>
      </w:r>
      <w:r>
        <w:rPr>
          <w:rFonts w:hint="eastAsia" w:ascii="宋体" w:hAnsi="宋体" w:eastAsia="宋体" w:cs="宋体"/>
          <w:sz w:val="28"/>
          <w:szCs w:val="28"/>
          <w:lang w:val="en-US" w:eastAsia="zh-CN"/>
        </w:rPr>
        <w:t>二</w:t>
      </w:r>
      <w:r>
        <w:rPr>
          <w:rFonts w:hint="eastAsia" w:ascii="宋体" w:hAnsi="宋体" w:eastAsia="宋体" w:cs="宋体"/>
          <w:sz w:val="28"/>
          <w:szCs w:val="28"/>
        </w:rPr>
        <w:t>、人员行为监督控制管理制度</w:t>
      </w:r>
      <w:r>
        <w:rPr>
          <w:rFonts w:hint="eastAsia" w:ascii="宋体" w:hAnsi="宋体" w:eastAsia="宋体" w:cs="宋体"/>
          <w:sz w:val="28"/>
          <w:szCs w:val="28"/>
        </w:rPr>
        <w:fldChar w:fldCharType="end"/>
      </w:r>
    </w:p>
    <w:p w14:paraId="78C944B5">
      <w:pPr>
        <w:pStyle w:val="12"/>
        <w:keepNext w:val="0"/>
        <w:keepLines w:val="0"/>
        <w:pageBreakBefore w:val="0"/>
        <w:widowControl w:val="0"/>
        <w:tabs>
          <w:tab w:val="right" w:leader="dot" w:pos="8306"/>
        </w:tabs>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_Toc30627 </w:instrText>
      </w:r>
      <w:r>
        <w:rPr>
          <w:rFonts w:hint="eastAsia" w:ascii="宋体" w:hAnsi="宋体" w:eastAsia="宋体" w:cs="宋体"/>
          <w:sz w:val="28"/>
          <w:szCs w:val="28"/>
        </w:rPr>
        <w:fldChar w:fldCharType="separate"/>
      </w:r>
      <w:r>
        <w:rPr>
          <w:rFonts w:hint="eastAsia" w:ascii="宋体" w:hAnsi="宋体" w:eastAsia="宋体" w:cs="宋体"/>
          <w:sz w:val="28"/>
          <w:szCs w:val="28"/>
        </w:rPr>
        <w:t>三十</w:t>
      </w:r>
      <w:r>
        <w:rPr>
          <w:rFonts w:hint="eastAsia" w:ascii="宋体" w:hAnsi="宋体" w:eastAsia="宋体" w:cs="宋体"/>
          <w:sz w:val="28"/>
          <w:szCs w:val="28"/>
          <w:lang w:val="en-US" w:eastAsia="zh-CN"/>
        </w:rPr>
        <w:t>三</w:t>
      </w:r>
      <w:r>
        <w:rPr>
          <w:rFonts w:hint="eastAsia" w:ascii="宋体" w:hAnsi="宋体" w:eastAsia="宋体" w:cs="宋体"/>
          <w:sz w:val="28"/>
          <w:szCs w:val="28"/>
        </w:rPr>
        <w:t>、安全生产形势预测预警制度</w:t>
      </w:r>
      <w:r>
        <w:rPr>
          <w:rFonts w:hint="eastAsia" w:ascii="宋体" w:hAnsi="宋体" w:eastAsia="宋体" w:cs="宋体"/>
          <w:sz w:val="28"/>
          <w:szCs w:val="28"/>
        </w:rPr>
        <w:fldChar w:fldCharType="end"/>
      </w:r>
    </w:p>
    <w:p w14:paraId="380ED964">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_Toc9360 </w:instrText>
      </w:r>
      <w:r>
        <w:rPr>
          <w:rFonts w:hint="eastAsia" w:ascii="宋体" w:hAnsi="宋体" w:eastAsia="宋体" w:cs="宋体"/>
          <w:sz w:val="28"/>
          <w:szCs w:val="28"/>
        </w:rPr>
        <w:fldChar w:fldCharType="separate"/>
      </w:r>
      <w:r>
        <w:rPr>
          <w:rFonts w:hint="eastAsia" w:ascii="宋体" w:hAnsi="宋体" w:eastAsia="宋体" w:cs="宋体"/>
          <w:sz w:val="28"/>
          <w:szCs w:val="28"/>
          <w:lang w:val="en-US" w:eastAsia="zh-CN"/>
        </w:rPr>
        <w:t>三十四、</w:t>
      </w:r>
      <w:r>
        <w:rPr>
          <w:rFonts w:hint="eastAsia" w:ascii="宋体" w:hAnsi="宋体" w:eastAsia="宋体" w:cs="宋体"/>
          <w:sz w:val="28"/>
          <w:szCs w:val="28"/>
        </w:rPr>
        <w:t>安全生产经费投入使用管理制度</w:t>
      </w:r>
      <w:r>
        <w:rPr>
          <w:rFonts w:hint="eastAsia" w:ascii="宋体" w:hAnsi="宋体" w:eastAsia="宋体" w:cs="宋体"/>
          <w:sz w:val="28"/>
          <w:szCs w:val="28"/>
        </w:rPr>
        <w:tab/>
      </w:r>
      <w:r>
        <w:rPr>
          <w:rFonts w:hint="eastAsia" w:ascii="宋体" w:hAnsi="宋体" w:eastAsia="宋体" w:cs="宋体"/>
          <w:sz w:val="28"/>
          <w:szCs w:val="28"/>
        </w:rPr>
        <w:fldChar w:fldCharType="end"/>
      </w:r>
    </w:p>
    <w:p w14:paraId="1366282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5366AED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sz w:val="28"/>
          <w:szCs w:val="28"/>
        </w:rPr>
      </w:pPr>
      <w:bookmarkStart w:id="110" w:name="_Toc14685"/>
      <w:bookmarkStart w:id="111" w:name="_Toc11541"/>
      <w:r>
        <w:rPr>
          <w:rFonts w:hint="eastAsia" w:ascii="宋体" w:hAnsi="宋体" w:eastAsia="宋体" w:cs="宋体"/>
          <w:b/>
          <w:bCs/>
          <w:color w:val="000000"/>
          <w:kern w:val="0"/>
          <w:sz w:val="28"/>
          <w:szCs w:val="28"/>
          <w:lang w:val="en-US" w:eastAsia="zh-CN" w:bidi="ar"/>
        </w:rPr>
        <w:t>2.5.3 事故应急救援预案</w:t>
      </w:r>
      <w:bookmarkEnd w:id="110"/>
      <w:bookmarkEnd w:id="111"/>
      <w:r>
        <w:rPr>
          <w:rFonts w:hint="eastAsia" w:ascii="宋体" w:hAnsi="宋体" w:eastAsia="宋体" w:cs="宋体"/>
          <w:b/>
          <w:bCs/>
          <w:color w:val="000000"/>
          <w:kern w:val="0"/>
          <w:sz w:val="28"/>
          <w:szCs w:val="28"/>
          <w:lang w:val="en-US" w:eastAsia="zh-CN" w:bidi="ar"/>
        </w:rPr>
        <w:t xml:space="preserve"> </w:t>
      </w:r>
    </w:p>
    <w:p w14:paraId="0E79704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根据国家《安全生产法》等法规的规定，同时为预防事故的发生，企业根据各生产装置的情况，按照事故影响范围和程度制定事故应急预案。该公司已经编制了《</w:t>
      </w:r>
      <w:r>
        <w:rPr>
          <w:rFonts w:hint="eastAsia"/>
          <w:sz w:val="28"/>
          <w:szCs w:val="28"/>
        </w:rPr>
        <w:t>云南高机精密数控机床有限公司</w:t>
      </w:r>
      <w:r>
        <w:rPr>
          <w:rFonts w:hint="eastAsia" w:ascii="宋体" w:hAnsi="宋体" w:eastAsia="宋体" w:cs="宋体"/>
          <w:color w:val="000000"/>
          <w:kern w:val="0"/>
          <w:sz w:val="28"/>
          <w:szCs w:val="28"/>
          <w:lang w:val="en-US" w:eastAsia="zh-CN" w:bidi="ar"/>
        </w:rPr>
        <w:t>生产安全事故应急预案》</w:t>
      </w:r>
      <w:r>
        <w:rPr>
          <w:rFonts w:hint="eastAsia" w:hAnsi="宋体" w:cs="宋体"/>
          <w:color w:val="000000"/>
          <w:kern w:val="0"/>
          <w:sz w:val="28"/>
          <w:szCs w:val="28"/>
          <w:lang w:val="en-US" w:eastAsia="zh-CN" w:bidi="ar"/>
        </w:rPr>
        <w:t>。</w:t>
      </w:r>
    </w:p>
    <w:p w14:paraId="55C2ED2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12" w:name="_Toc1237"/>
      <w:bookmarkStart w:id="113" w:name="_Toc25907"/>
      <w:r>
        <w:rPr>
          <w:rFonts w:hint="eastAsia" w:ascii="宋体" w:hAnsi="宋体" w:eastAsia="宋体" w:cs="宋体"/>
          <w:b/>
          <w:bCs/>
          <w:color w:val="000000"/>
          <w:kern w:val="0"/>
          <w:sz w:val="28"/>
          <w:szCs w:val="28"/>
          <w:lang w:val="en-US" w:eastAsia="zh-CN" w:bidi="ar"/>
        </w:rPr>
        <w:t>2.5.4 作业人员培训情况</w:t>
      </w:r>
      <w:bookmarkEnd w:id="112"/>
      <w:bookmarkEnd w:id="113"/>
    </w:p>
    <w:p w14:paraId="23AD3DF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Times New Roman" w:hAnsi="Times New Roman" w:cs="Times New Roman"/>
          <w:sz w:val="28"/>
          <w:szCs w:val="28"/>
          <w:vertAlign w:val="baseline"/>
          <w:lang w:val="en-US" w:eastAsia="zh-CN"/>
        </w:rPr>
      </w:pPr>
      <w:r>
        <w:rPr>
          <w:rFonts w:hint="eastAsia"/>
          <w:sz w:val="28"/>
          <w:szCs w:val="28"/>
          <w:lang w:val="en-US" w:eastAsia="zh-CN"/>
        </w:rPr>
        <w:t>云南高机精密数控机床有限公司总经理（主要负责人）、安全管理人员已参加培训，取得了安全合格证。特种设备操作人员、特种作业人员均已取得相应的特种作业资格证。</w:t>
      </w:r>
      <w:r>
        <w:rPr>
          <w:rFonts w:hint="eastAsia" w:ascii="Times New Roman" w:hAnsi="Times New Roman" w:cs="Times New Roman"/>
          <w:sz w:val="28"/>
          <w:szCs w:val="28"/>
          <w:lang w:val="en-US" w:eastAsia="zh-CN"/>
        </w:rPr>
        <w:t>持证情况如下表所示：</w:t>
      </w:r>
    </w:p>
    <w:tbl>
      <w:tblPr>
        <w:tblStyle w:val="17"/>
        <w:tblW w:w="558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11"/>
        <w:gridCol w:w="1408"/>
        <w:gridCol w:w="2248"/>
        <w:gridCol w:w="2496"/>
        <w:gridCol w:w="2942"/>
      </w:tblGrid>
      <w:tr w14:paraId="16325E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4" w:type="dxa"/>
          </w:tcPr>
          <w:p w14:paraId="7762BC0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姓名</w:t>
            </w:r>
          </w:p>
        </w:tc>
        <w:tc>
          <w:tcPr>
            <w:tcW w:w="1431" w:type="dxa"/>
          </w:tcPr>
          <w:p w14:paraId="56CD10C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性别</w:t>
            </w:r>
          </w:p>
        </w:tc>
        <w:tc>
          <w:tcPr>
            <w:tcW w:w="2285" w:type="dxa"/>
          </w:tcPr>
          <w:p w14:paraId="6937357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资格类型</w:t>
            </w:r>
          </w:p>
        </w:tc>
        <w:tc>
          <w:tcPr>
            <w:tcW w:w="2376" w:type="dxa"/>
          </w:tcPr>
          <w:p w14:paraId="143AB90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证书编号</w:t>
            </w:r>
          </w:p>
        </w:tc>
        <w:tc>
          <w:tcPr>
            <w:tcW w:w="2979" w:type="dxa"/>
          </w:tcPr>
          <w:p w14:paraId="6708500E">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Times New Roman" w:hAnsi="Times New Roman" w:cs="Times New Roman"/>
                <w:b/>
                <w:bCs/>
                <w:sz w:val="24"/>
                <w:szCs w:val="24"/>
                <w:vertAlign w:val="baseline"/>
                <w:lang w:val="en-US" w:eastAsia="zh-CN"/>
              </w:rPr>
            </w:pPr>
            <w:r>
              <w:rPr>
                <w:rFonts w:hint="eastAsia" w:ascii="Times New Roman" w:hAnsi="Times New Roman" w:cs="Times New Roman"/>
                <w:b/>
                <w:bCs/>
                <w:sz w:val="24"/>
                <w:szCs w:val="24"/>
                <w:vertAlign w:val="baseline"/>
                <w:lang w:val="en-US" w:eastAsia="zh-CN"/>
              </w:rPr>
              <w:t>有效期</w:t>
            </w:r>
          </w:p>
        </w:tc>
      </w:tr>
      <w:tr w14:paraId="3E123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4" w:type="dxa"/>
            <w:vAlign w:val="center"/>
          </w:tcPr>
          <w:p w14:paraId="2D459FF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lang w:val="en-US" w:eastAsia="zh-CN"/>
              </w:rPr>
              <w:t>段春先</w:t>
            </w:r>
          </w:p>
        </w:tc>
        <w:tc>
          <w:tcPr>
            <w:tcW w:w="1431" w:type="dxa"/>
            <w:vAlign w:val="center"/>
          </w:tcPr>
          <w:p w14:paraId="38ED172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男</w:t>
            </w:r>
          </w:p>
        </w:tc>
        <w:tc>
          <w:tcPr>
            <w:tcW w:w="2285" w:type="dxa"/>
            <w:vAlign w:val="center"/>
          </w:tcPr>
          <w:p w14:paraId="01EA2F55">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主要负责人</w:t>
            </w:r>
          </w:p>
        </w:tc>
        <w:tc>
          <w:tcPr>
            <w:tcW w:w="2376" w:type="dxa"/>
            <w:vAlign w:val="center"/>
          </w:tcPr>
          <w:p w14:paraId="6B9AEEB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FJ7902024FZ3153</w:t>
            </w:r>
          </w:p>
        </w:tc>
        <w:tc>
          <w:tcPr>
            <w:tcW w:w="2979" w:type="dxa"/>
            <w:vAlign w:val="center"/>
          </w:tcPr>
          <w:p w14:paraId="1470BB6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2024-07-24至2027-07-23</w:t>
            </w:r>
          </w:p>
        </w:tc>
      </w:tr>
      <w:tr w14:paraId="550B9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4" w:type="dxa"/>
            <w:vAlign w:val="center"/>
          </w:tcPr>
          <w:p w14:paraId="7D65B01E">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rPr>
              <w:t>李江辉</w:t>
            </w:r>
          </w:p>
        </w:tc>
        <w:tc>
          <w:tcPr>
            <w:tcW w:w="1431" w:type="dxa"/>
            <w:vAlign w:val="center"/>
          </w:tcPr>
          <w:p w14:paraId="7B322FA0">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男</w:t>
            </w:r>
          </w:p>
        </w:tc>
        <w:tc>
          <w:tcPr>
            <w:tcW w:w="2285" w:type="dxa"/>
            <w:vAlign w:val="center"/>
          </w:tcPr>
          <w:p w14:paraId="5616F9D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安全管理员</w:t>
            </w:r>
          </w:p>
        </w:tc>
        <w:tc>
          <w:tcPr>
            <w:tcW w:w="2376" w:type="dxa"/>
            <w:vAlign w:val="center"/>
          </w:tcPr>
          <w:p w14:paraId="280686C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FJ7902024FG3134</w:t>
            </w:r>
          </w:p>
        </w:tc>
        <w:tc>
          <w:tcPr>
            <w:tcW w:w="2979" w:type="dxa"/>
            <w:vAlign w:val="center"/>
          </w:tcPr>
          <w:p w14:paraId="0AD68FA0">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2024-07-24至2027-07-23</w:t>
            </w:r>
          </w:p>
        </w:tc>
      </w:tr>
      <w:tr w14:paraId="3DEEA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4" w:type="dxa"/>
            <w:vAlign w:val="center"/>
          </w:tcPr>
          <w:p w14:paraId="40E2F5F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rPr>
              <w:t>陈立</w:t>
            </w:r>
          </w:p>
        </w:tc>
        <w:tc>
          <w:tcPr>
            <w:tcW w:w="1431" w:type="dxa"/>
            <w:vAlign w:val="center"/>
          </w:tcPr>
          <w:p w14:paraId="326AA641">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男</w:t>
            </w:r>
          </w:p>
        </w:tc>
        <w:tc>
          <w:tcPr>
            <w:tcW w:w="2285" w:type="dxa"/>
            <w:vAlign w:val="center"/>
          </w:tcPr>
          <w:p w14:paraId="06F272C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Q2（限桥式起重机）</w:t>
            </w:r>
          </w:p>
        </w:tc>
        <w:tc>
          <w:tcPr>
            <w:tcW w:w="2376" w:type="dxa"/>
            <w:vAlign w:val="center"/>
          </w:tcPr>
          <w:p w14:paraId="25C69C5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500240199009140394</w:t>
            </w:r>
          </w:p>
        </w:tc>
        <w:tc>
          <w:tcPr>
            <w:tcW w:w="2979" w:type="dxa"/>
            <w:vAlign w:val="center"/>
          </w:tcPr>
          <w:p w14:paraId="20BCEBE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2024-09至2028-08</w:t>
            </w:r>
          </w:p>
        </w:tc>
      </w:tr>
      <w:tr w14:paraId="2C91E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34" w:type="dxa"/>
            <w:shd w:val="clear" w:color="auto" w:fill="auto"/>
            <w:vAlign w:val="center"/>
          </w:tcPr>
          <w:p w14:paraId="16D15A71">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lang w:val="en-US" w:eastAsia="zh-CN" w:bidi="ar-SA"/>
              </w:rPr>
            </w:pPr>
            <w:bookmarkStart w:id="114" w:name="_Toc2919"/>
            <w:r>
              <w:rPr>
                <w:rFonts w:hint="eastAsia" w:hAnsi="宋体" w:cs="宋体"/>
                <w:sz w:val="24"/>
                <w:szCs w:val="24"/>
                <w:lang w:val="en-US" w:eastAsia="zh-CN" w:bidi="ar-SA"/>
              </w:rPr>
              <w:t>李光勇</w:t>
            </w:r>
          </w:p>
        </w:tc>
        <w:tc>
          <w:tcPr>
            <w:tcW w:w="1431" w:type="dxa"/>
            <w:shd w:val="clear" w:color="auto" w:fill="auto"/>
            <w:vAlign w:val="center"/>
          </w:tcPr>
          <w:p w14:paraId="242ED01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bidi="ar-SA"/>
              </w:rPr>
            </w:pPr>
            <w:r>
              <w:rPr>
                <w:rFonts w:hint="eastAsia" w:ascii="宋体" w:hAnsi="宋体" w:eastAsia="宋体" w:cs="宋体"/>
                <w:b w:val="0"/>
                <w:bCs w:val="0"/>
                <w:sz w:val="24"/>
                <w:szCs w:val="24"/>
                <w:vertAlign w:val="baseline"/>
                <w:lang w:val="en-US" w:eastAsia="zh-CN"/>
              </w:rPr>
              <w:t>男</w:t>
            </w:r>
          </w:p>
        </w:tc>
        <w:tc>
          <w:tcPr>
            <w:tcW w:w="2285" w:type="dxa"/>
            <w:shd w:val="clear" w:color="auto" w:fill="auto"/>
            <w:vAlign w:val="center"/>
          </w:tcPr>
          <w:p w14:paraId="4D31D8D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sz w:val="24"/>
                <w:szCs w:val="24"/>
                <w:vertAlign w:val="baseline"/>
                <w:lang w:val="en-US" w:eastAsia="zh-CN" w:bidi="ar-SA"/>
              </w:rPr>
            </w:pPr>
            <w:r>
              <w:rPr>
                <w:rFonts w:hint="eastAsia" w:hAnsi="宋体" w:cs="宋体"/>
                <w:sz w:val="24"/>
                <w:szCs w:val="24"/>
                <w:vertAlign w:val="baseline"/>
                <w:lang w:val="en-US" w:eastAsia="zh-CN"/>
              </w:rPr>
              <w:t>低压电工作业</w:t>
            </w:r>
          </w:p>
        </w:tc>
        <w:tc>
          <w:tcPr>
            <w:tcW w:w="2376" w:type="dxa"/>
            <w:shd w:val="clear" w:color="auto" w:fill="auto"/>
            <w:vAlign w:val="center"/>
          </w:tcPr>
          <w:p w14:paraId="587E21D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vertAlign w:val="baseline"/>
                <w:lang w:val="en-US" w:eastAsia="zh-CN" w:bidi="ar-SA"/>
              </w:rPr>
            </w:pPr>
            <w:r>
              <w:rPr>
                <w:rFonts w:hint="eastAsia" w:hAnsi="宋体" w:cs="宋体"/>
                <w:sz w:val="24"/>
                <w:szCs w:val="24"/>
                <w:vertAlign w:val="baseline"/>
                <w:lang w:val="en-US" w:eastAsia="zh-CN" w:bidi="ar-SA"/>
              </w:rPr>
              <w:t>T532625199007211932</w:t>
            </w:r>
          </w:p>
        </w:tc>
        <w:tc>
          <w:tcPr>
            <w:tcW w:w="2979" w:type="dxa"/>
            <w:shd w:val="clear" w:color="auto" w:fill="auto"/>
            <w:vAlign w:val="center"/>
          </w:tcPr>
          <w:p w14:paraId="2B7D9AA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sz w:val="24"/>
                <w:szCs w:val="24"/>
                <w:vertAlign w:val="baseline"/>
                <w:lang w:val="en-US" w:eastAsia="zh-CN" w:bidi="ar-SA"/>
              </w:rPr>
            </w:pPr>
            <w:r>
              <w:rPr>
                <w:rFonts w:hint="eastAsia" w:hAnsi="宋体" w:cs="宋体"/>
                <w:sz w:val="24"/>
                <w:szCs w:val="24"/>
                <w:vertAlign w:val="baseline"/>
                <w:lang w:val="en-US" w:eastAsia="zh-CN" w:bidi="ar-SA"/>
              </w:rPr>
              <w:t>2025-02-27</w:t>
            </w:r>
            <w:r>
              <w:rPr>
                <w:rFonts w:hint="eastAsia" w:ascii="宋体" w:hAnsi="宋体" w:eastAsia="宋体" w:cs="宋体"/>
                <w:b w:val="0"/>
                <w:bCs w:val="0"/>
                <w:sz w:val="24"/>
                <w:szCs w:val="24"/>
                <w:vertAlign w:val="baseline"/>
                <w:lang w:val="en-US" w:eastAsia="zh-CN"/>
              </w:rPr>
              <w:t>至</w:t>
            </w:r>
            <w:r>
              <w:rPr>
                <w:rFonts w:hint="eastAsia" w:hAnsi="宋体" w:cs="宋体"/>
                <w:sz w:val="24"/>
                <w:szCs w:val="24"/>
                <w:vertAlign w:val="baseline"/>
                <w:lang w:val="en-US" w:eastAsia="zh-CN" w:bidi="ar-SA"/>
              </w:rPr>
              <w:t>2031-02-26</w:t>
            </w:r>
          </w:p>
        </w:tc>
      </w:tr>
    </w:tbl>
    <w:p w14:paraId="4E6C9E92">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outlineLvl w:val="2"/>
        <w:rPr>
          <w:sz w:val="28"/>
          <w:szCs w:val="28"/>
        </w:rPr>
      </w:pPr>
      <w:bookmarkStart w:id="115" w:name="_Toc7719"/>
      <w:r>
        <w:rPr>
          <w:rFonts w:hint="eastAsia" w:ascii="宋体" w:hAnsi="宋体" w:eastAsia="宋体" w:cs="宋体"/>
          <w:b/>
          <w:bCs/>
          <w:color w:val="000000"/>
          <w:kern w:val="0"/>
          <w:sz w:val="28"/>
          <w:szCs w:val="28"/>
          <w:lang w:val="en-US" w:eastAsia="zh-CN" w:bidi="ar"/>
        </w:rPr>
        <w:t>2.5.5 劳动防护用品配置</w:t>
      </w:r>
      <w:bookmarkEnd w:id="114"/>
      <w:bookmarkEnd w:id="115"/>
      <w:r>
        <w:rPr>
          <w:rFonts w:hint="eastAsia" w:ascii="宋体" w:hAnsi="宋体" w:eastAsia="宋体" w:cs="宋体"/>
          <w:b/>
          <w:bCs/>
          <w:color w:val="000000"/>
          <w:kern w:val="0"/>
          <w:sz w:val="28"/>
          <w:szCs w:val="28"/>
          <w:lang w:val="en-US" w:eastAsia="zh-CN" w:bidi="ar"/>
        </w:rPr>
        <w:t xml:space="preserve"> </w:t>
      </w:r>
    </w:p>
    <w:p w14:paraId="299BB24B">
      <w:pPr>
        <w:keepNext w:val="0"/>
        <w:keepLines w:val="0"/>
        <w:pageBreakBefore w:val="0"/>
        <w:widowControl w:val="0"/>
        <w:suppressLineNumbers w:val="0"/>
        <w:kinsoku/>
        <w:wordWrap/>
        <w:overflowPunct/>
        <w:topLinePunct w:val="0"/>
        <w:autoSpaceDE/>
        <w:autoSpaceDN/>
        <w:bidi w:val="0"/>
        <w:adjustRightInd/>
        <w:snapToGrid/>
        <w:spacing w:line="600" w:lineRule="exact"/>
        <w:ind w:firstLine="560" w:firstLineChars="200"/>
        <w:jc w:val="left"/>
        <w:textAlignment w:val="auto"/>
        <w:rPr>
          <w:rFonts w:eastAsia="宋体"/>
          <w:sz w:val="28"/>
          <w:szCs w:val="28"/>
        </w:rPr>
      </w:pPr>
      <w:r>
        <w:rPr>
          <w:rFonts w:hint="eastAsia"/>
          <w:sz w:val="28"/>
          <w:szCs w:val="28"/>
        </w:rPr>
        <w:t>云南高机精密数控机床有限公司</w:t>
      </w:r>
      <w:r>
        <w:rPr>
          <w:rFonts w:hint="eastAsia" w:ascii="宋体" w:hAnsi="宋体" w:eastAsia="宋体" w:cs="宋体"/>
          <w:color w:val="000000"/>
          <w:kern w:val="0"/>
          <w:sz w:val="28"/>
          <w:szCs w:val="28"/>
          <w:lang w:val="en-US" w:eastAsia="zh-CN" w:bidi="ar"/>
        </w:rPr>
        <w:t>制定了《安全装置和防护用品（器具）管理制度》，对劳保用品的发放标准做了规定。《劳动保护用品发放表》见</w:t>
      </w:r>
      <w:r>
        <w:rPr>
          <w:rFonts w:hint="eastAsia" w:hAnsi="宋体" w:cs="宋体"/>
          <w:color w:val="000000"/>
          <w:kern w:val="0"/>
          <w:sz w:val="28"/>
          <w:szCs w:val="28"/>
          <w:lang w:val="en-US" w:eastAsia="zh-CN" w:bidi="ar"/>
        </w:rPr>
        <w:t>报告</w:t>
      </w:r>
      <w:r>
        <w:rPr>
          <w:rFonts w:hint="eastAsia" w:ascii="宋体" w:hAnsi="宋体" w:eastAsia="宋体" w:cs="宋体"/>
          <w:color w:val="000000"/>
          <w:kern w:val="0"/>
          <w:sz w:val="28"/>
          <w:szCs w:val="28"/>
          <w:lang w:val="en-US" w:eastAsia="zh-CN" w:bidi="ar"/>
        </w:rPr>
        <w:t xml:space="preserve">附件。 </w:t>
      </w:r>
    </w:p>
    <w:p w14:paraId="54656FD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16" w:name="_Toc28789"/>
      <w:bookmarkStart w:id="117" w:name="_Toc10579"/>
      <w:r>
        <w:rPr>
          <w:rFonts w:hint="eastAsia" w:ascii="宋体" w:hAnsi="宋体" w:eastAsia="宋体" w:cs="宋体"/>
          <w:b/>
          <w:bCs/>
          <w:color w:val="000000"/>
          <w:kern w:val="0"/>
          <w:sz w:val="28"/>
          <w:szCs w:val="28"/>
          <w:lang w:val="en-US" w:eastAsia="zh-CN" w:bidi="ar"/>
        </w:rPr>
        <w:t>2.5.6 工伤保险购买情况</w:t>
      </w:r>
      <w:bookmarkEnd w:id="116"/>
      <w:bookmarkEnd w:id="117"/>
      <w:r>
        <w:rPr>
          <w:rFonts w:hint="eastAsia" w:ascii="宋体" w:hAnsi="宋体" w:eastAsia="宋体" w:cs="宋体"/>
          <w:b/>
          <w:bCs/>
          <w:color w:val="000000"/>
          <w:kern w:val="0"/>
          <w:sz w:val="28"/>
          <w:szCs w:val="28"/>
          <w:lang w:val="en-US" w:eastAsia="zh-CN" w:bidi="ar"/>
        </w:rPr>
        <w:t xml:space="preserve"> </w:t>
      </w:r>
    </w:p>
    <w:p w14:paraId="7DA153F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eastAsia="宋体"/>
          <w:sz w:val="28"/>
          <w:szCs w:val="28"/>
        </w:rPr>
      </w:pPr>
      <w:r>
        <w:rPr>
          <w:rFonts w:hint="eastAsia"/>
          <w:sz w:val="28"/>
          <w:szCs w:val="28"/>
        </w:rPr>
        <w:t>云南高机精密数控机床有限公司</w:t>
      </w:r>
      <w:r>
        <w:rPr>
          <w:rFonts w:hint="eastAsia" w:ascii="宋体" w:hAnsi="宋体" w:eastAsia="宋体" w:cs="宋体"/>
          <w:color w:val="000000"/>
          <w:kern w:val="0"/>
          <w:sz w:val="28"/>
          <w:szCs w:val="28"/>
          <w:lang w:val="en-US" w:eastAsia="zh-CN" w:bidi="ar"/>
        </w:rPr>
        <w:t>为员工购买了意外伤害保险及工伤保险，保险购买证明见</w:t>
      </w:r>
      <w:r>
        <w:rPr>
          <w:rFonts w:hint="eastAsia" w:hAnsi="宋体" w:cs="宋体"/>
          <w:color w:val="000000"/>
          <w:kern w:val="0"/>
          <w:sz w:val="28"/>
          <w:szCs w:val="28"/>
          <w:lang w:val="en-US" w:eastAsia="zh-CN" w:bidi="ar"/>
        </w:rPr>
        <w:t>报告</w:t>
      </w:r>
      <w:r>
        <w:rPr>
          <w:rFonts w:hint="eastAsia" w:ascii="宋体" w:hAnsi="宋体" w:eastAsia="宋体" w:cs="宋体"/>
          <w:color w:val="000000"/>
          <w:kern w:val="0"/>
          <w:sz w:val="28"/>
          <w:szCs w:val="28"/>
          <w:lang w:val="en-US" w:eastAsia="zh-CN" w:bidi="ar"/>
        </w:rPr>
        <w:t>附件。</w:t>
      </w:r>
    </w:p>
    <w:p w14:paraId="43D933C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color w:val="000000"/>
          <w:kern w:val="0"/>
          <w:sz w:val="28"/>
          <w:szCs w:val="28"/>
          <w:lang w:val="en-US" w:eastAsia="zh-CN" w:bidi="ar"/>
        </w:rPr>
      </w:pPr>
      <w:bookmarkStart w:id="118" w:name="_Toc31725"/>
      <w:bookmarkStart w:id="119" w:name="_Toc6121"/>
      <w:r>
        <w:rPr>
          <w:rFonts w:hint="eastAsia" w:ascii="宋体" w:hAnsi="宋体" w:eastAsia="宋体" w:cs="宋体"/>
          <w:b/>
          <w:bCs/>
          <w:color w:val="000000"/>
          <w:kern w:val="0"/>
          <w:sz w:val="28"/>
          <w:szCs w:val="28"/>
          <w:lang w:val="en-US" w:eastAsia="zh-CN" w:bidi="ar"/>
        </w:rPr>
        <w:t>2.5.7 近期运行情况</w:t>
      </w:r>
      <w:bookmarkEnd w:id="118"/>
      <w:bookmarkEnd w:id="119"/>
    </w:p>
    <w:p w14:paraId="1DBBE07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1、安全管理及人员安全培训教育</w:t>
      </w:r>
    </w:p>
    <w:p w14:paraId="04E045F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该企业能够认真落实国家安全生产的方针和国家安全生产的有关法律、法规，在日常生产经营活动中能够不断加强企业内部的安全生产管理的各项工作，认真落实企业各级人员安全生产责任制，明确各级人员安全生产职责；定期开展企业各级人员安全教育和培训活动，使企业安全生产管理各项工作和各级人员安全教育培训得到不断加强。</w:t>
      </w:r>
    </w:p>
    <w:p w14:paraId="4A8F4CBB">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企业的主要负责人和安全管理人员能够按照《中华人民共和国安全生产法》（中华人民共和国主席令第 88 号）、《云南省安全生产条例》等的相关要求，及时参加安全管理培训，并经考核合格后取得合格证，确保企业的安全管理工作能够有效进行。 </w:t>
      </w:r>
    </w:p>
    <w:p w14:paraId="7406813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2、设备安全管理 </w:t>
      </w:r>
    </w:p>
    <w:p w14:paraId="05D4498B">
      <w:pPr>
        <w:keepNext w:val="0"/>
        <w:keepLines w:val="0"/>
        <w:pageBreakBefore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企业定期对生产设备、设施检修、维护和保养，发现并及时排除出现的故障和可能存在的不安全隐患，使生产设备及设施始终处于正常状况。 </w:t>
      </w:r>
    </w:p>
    <w:p w14:paraId="607F6E2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3、安全设施情况 </w:t>
      </w:r>
    </w:p>
    <w:p w14:paraId="45BC7E8B">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通过安全评价及安全隐患排查，企业不断完善生产设备安全设施，起重设备安全设施基本齐全，且正常投入使用，其他安全设施主要设置有安全防护罩、急停按钮、防护栏等，生产车间留有安全通道、设置了安全警示标志等。 </w:t>
      </w:r>
    </w:p>
    <w:p w14:paraId="06083FE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4、安全生产事故发生情况 </w:t>
      </w:r>
    </w:p>
    <w:p w14:paraId="47443193">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FF"/>
          <w:spacing w:val="0"/>
          <w:sz w:val="28"/>
          <w:szCs w:val="28"/>
          <w:shd w:val="clear" w:color="FFFFFF" w:fill="D9D9D9"/>
          <w:lang w:val="en-US" w:eastAsia="zh-CN"/>
        </w:rPr>
        <w:t>该企业至评价基准日起生产正常运行，人员及设备管理到位，未发生过人员伤亡的生产安全事故。</w:t>
      </w:r>
    </w:p>
    <w:p w14:paraId="3B1D9A65">
      <w:pPr>
        <w:keepNext w:val="0"/>
        <w:keepLines w:val="0"/>
        <w:pageBreakBefore w:val="0"/>
        <w:widowControl w:val="0"/>
        <w:suppressLineNumbers w:val="0"/>
        <w:kinsoku w:val="0"/>
        <w:wordWrap/>
        <w:overflowPunct w:val="0"/>
        <w:topLinePunct w:val="0"/>
        <w:autoSpaceDE/>
        <w:autoSpaceDN/>
        <w:bidi w:val="0"/>
        <w:adjustRightInd/>
        <w:snapToGrid/>
        <w:spacing w:line="600" w:lineRule="exact"/>
        <w:jc w:val="both"/>
        <w:textAlignment w:val="auto"/>
        <w:outlineLvl w:val="9"/>
        <w:rPr>
          <w:rFonts w:hint="eastAsia" w:ascii="宋体" w:hAnsi="宋体" w:eastAsia="宋体" w:cs="宋体"/>
          <w:b/>
          <w:bCs/>
          <w:color w:val="000000"/>
          <w:kern w:val="0"/>
          <w:sz w:val="36"/>
          <w:szCs w:val="36"/>
          <w:lang w:val="en-US" w:eastAsia="zh-CN" w:bidi="ar"/>
        </w:rPr>
      </w:pPr>
      <w:bookmarkStart w:id="120" w:name="_Toc31438"/>
    </w:p>
    <w:p w14:paraId="2C49062A">
      <w:pPr>
        <w:keepNext w:val="0"/>
        <w:keepLines w:val="0"/>
        <w:pageBreakBefore w:val="0"/>
        <w:widowControl w:val="0"/>
        <w:suppressLineNumbers w:val="0"/>
        <w:kinsoku w:val="0"/>
        <w:wordWrap/>
        <w:overflowPunct w:val="0"/>
        <w:topLinePunct w:val="0"/>
        <w:autoSpaceDE/>
        <w:autoSpaceDN/>
        <w:bidi w:val="0"/>
        <w:adjustRightInd/>
        <w:snapToGrid/>
        <w:spacing w:line="600" w:lineRule="exact"/>
        <w:jc w:val="center"/>
        <w:textAlignment w:val="auto"/>
        <w:outlineLvl w:val="0"/>
        <w:rPr>
          <w:sz w:val="36"/>
          <w:szCs w:val="36"/>
        </w:rPr>
      </w:pPr>
      <w:bookmarkStart w:id="121" w:name="_Toc17734"/>
      <w:r>
        <w:rPr>
          <w:rFonts w:hint="eastAsia" w:ascii="宋体" w:hAnsi="宋体" w:eastAsia="宋体" w:cs="宋体"/>
          <w:b/>
          <w:bCs/>
          <w:color w:val="000000"/>
          <w:kern w:val="0"/>
          <w:sz w:val="36"/>
          <w:szCs w:val="36"/>
          <w:lang w:val="en-US" w:eastAsia="zh-CN" w:bidi="ar"/>
        </w:rPr>
        <w:t>第3章 危险、有害因素辨识与分析</w:t>
      </w:r>
      <w:bookmarkEnd w:id="120"/>
      <w:bookmarkEnd w:id="121"/>
    </w:p>
    <w:p w14:paraId="7166451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22" w:name="_Toc26305"/>
      <w:bookmarkStart w:id="123" w:name="_Toc5511"/>
      <w:r>
        <w:rPr>
          <w:rFonts w:hint="eastAsia" w:ascii="宋体" w:hAnsi="宋体" w:eastAsia="宋体" w:cs="宋体"/>
          <w:b/>
          <w:bCs/>
          <w:color w:val="000000"/>
          <w:kern w:val="0"/>
          <w:sz w:val="30"/>
          <w:szCs w:val="30"/>
          <w:lang w:val="en-US" w:eastAsia="zh-CN" w:bidi="ar"/>
        </w:rPr>
        <w:t>3.1 辨识与分析的目的</w:t>
      </w:r>
      <w:bookmarkEnd w:id="122"/>
      <w:bookmarkEnd w:id="123"/>
    </w:p>
    <w:p w14:paraId="05343EDE">
      <w:pPr>
        <w:keepNext w:val="0"/>
        <w:keepLines w:val="0"/>
        <w:pageBreakBefore w:val="0"/>
        <w:widowControl w:val="0"/>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针对</w:t>
      </w:r>
      <w:r>
        <w:rPr>
          <w:rFonts w:hint="eastAsia"/>
          <w:sz w:val="28"/>
          <w:szCs w:val="28"/>
        </w:rPr>
        <w:t>云南高机精密数控机床有限公司</w:t>
      </w:r>
      <w:r>
        <w:rPr>
          <w:rFonts w:hint="eastAsia" w:ascii="宋体" w:hAnsi="宋体" w:eastAsia="宋体" w:cs="宋体"/>
          <w:color w:val="000000"/>
          <w:kern w:val="0"/>
          <w:sz w:val="28"/>
          <w:szCs w:val="28"/>
          <w:lang w:val="en-US" w:eastAsia="zh-CN" w:bidi="ar"/>
        </w:rPr>
        <w:t>主体生产工程和其他辅助配套公用设施的运行情况，对设施、装置和生产系统中可能存在的危险、有害因素进行辨识和分析，确定危险、有害因素产生的原因，主要危险、有害因素的种类，存在部位及可能产生的后果。危险、有害因素辨识与分析是安全评价的基础。主要危险、有害因素的辨识，就是找出生产过程中最有可能引发重大事故、导致不良后果的人员、物、设施和环境特征等因素，识别可能发生的事故、后果和条件，以便采取预防和控制措施。</w:t>
      </w:r>
    </w:p>
    <w:p w14:paraId="30E488E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24" w:name="_Toc17365"/>
      <w:bookmarkStart w:id="125" w:name="_Toc4265"/>
      <w:r>
        <w:rPr>
          <w:rFonts w:hint="eastAsia" w:ascii="宋体" w:hAnsi="宋体" w:eastAsia="宋体" w:cs="宋体"/>
          <w:b/>
          <w:bCs/>
          <w:color w:val="000000"/>
          <w:kern w:val="0"/>
          <w:sz w:val="30"/>
          <w:szCs w:val="30"/>
          <w:lang w:val="en-US" w:eastAsia="zh-CN" w:bidi="ar"/>
        </w:rPr>
        <w:t>3.2 辨识与分析的方法</w:t>
      </w:r>
      <w:bookmarkEnd w:id="124"/>
      <w:bookmarkEnd w:id="125"/>
    </w:p>
    <w:p w14:paraId="0AE9372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评价项目组成员按照科学性、系统性、全面性、预测性的危险、有害辨识原则，采用现场调查法和类比推断方法对该项目的主要危险、有害因素进行识别与分析。</w:t>
      </w:r>
    </w:p>
    <w:p w14:paraId="4319037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依据《企业职工伤亡事故分类》(GB 6441-1986)，综合考虑起因物、引发事故的诱导性原因、致害物、伤害方式等，可将生产过程中的常见事故划分为20类。 </w:t>
      </w:r>
    </w:p>
    <w:p w14:paraId="02F73C45">
      <w:pPr>
        <w:keepNext w:val="0"/>
        <w:keepLines w:val="0"/>
        <w:pageBreakBefore w:val="0"/>
        <w:widowControl/>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按照《生产过程危险和有害因素分类与代码》（GB/T 13861—2022）将生产过程中的危险、有害因素分为四大类:分别是“人的因素”、“物的因素”、“环境因素”和“管理因素”。代码为层次码，第一、二层分别用一位数字表示大类、中类；第三、四层分别用两位数字表示小类、细类。</w:t>
      </w:r>
    </w:p>
    <w:p w14:paraId="5C80BC22">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lang w:val="en-US" w:eastAsia="zh-CN" w:bidi="ar-SA"/>
        </w:rPr>
      </w:pPr>
      <w:r>
        <w:rPr>
          <w:rFonts w:hint="eastAsia" w:ascii="宋体" w:hAnsi="宋体" w:eastAsia="宋体" w:cs="宋体"/>
          <w:color w:val="000000"/>
          <w:kern w:val="0"/>
          <w:sz w:val="28"/>
          <w:szCs w:val="28"/>
          <w:lang w:val="en-US" w:eastAsia="zh-CN" w:bidi="ar"/>
        </w:rPr>
        <w:t>1. 人的因素（11 心理、生理性危险和有害因素；12 行为性危险和有害因素）；</w:t>
      </w:r>
    </w:p>
    <w:p w14:paraId="352DDF20">
      <w:pPr>
        <w:keepNext w:val="0"/>
        <w:keepLines w:val="0"/>
        <w:pageBreakBefore w:val="0"/>
        <w:widowControl w:val="0"/>
        <w:tabs>
          <w:tab w:val="left" w:pos="876"/>
        </w:tabs>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lang w:val="en-US" w:eastAsia="zh-CN"/>
        </w:rPr>
      </w:pPr>
      <w:r>
        <w:rPr>
          <w:rFonts w:hint="eastAsia" w:ascii="宋体" w:hAnsi="宋体" w:eastAsia="宋体" w:cs="宋体"/>
          <w:color w:val="000000"/>
          <w:kern w:val="0"/>
          <w:sz w:val="28"/>
          <w:szCs w:val="28"/>
          <w:lang w:val="en-US" w:eastAsia="zh-CN" w:bidi="ar"/>
        </w:rPr>
        <w:t>2.物的因素（21 物理性危险和有害因素、22 化学性危险和有害 因素、</w:t>
      </w:r>
    </w:p>
    <w:p w14:paraId="0CF51C59">
      <w:pPr>
        <w:keepNext w:val="0"/>
        <w:keepLines w:val="0"/>
        <w:pageBreakBefore w:val="0"/>
        <w:widowControl w:val="0"/>
        <w:suppressLineNumbers w:val="0"/>
        <w:kinsoku/>
        <w:wordWrap/>
        <w:overflowPunct w:val="0"/>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生物性危险和有害因素）； </w:t>
      </w:r>
    </w:p>
    <w:p w14:paraId="5A54933B">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3.环境因素（31 室内作业场所环境不良、32 室外作业场地环境不良、33 地下（含水下）作业环境不良、39 其他作业环境不良）； </w:t>
      </w:r>
    </w:p>
    <w:p w14:paraId="2B6FAD07">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4.管理因素（41 职业安全卫生管理机构设置和人员配备不健全、 42 职业安全卫生责任制不完善或不落实、43 职业安全卫生管理制度不完善或不落实、44 职业安全卫生投入不足）。</w:t>
      </w:r>
    </w:p>
    <w:p w14:paraId="13845A8C">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本评价将依据上述规定对该公司的产品生产加工系统、厂区总平面布置、生产工艺流程、公辅设施等内容进行危险、有害因素分析和辨识。在危险、有害因素辨识过程中，首先给出评价对象可能具有的所有危险、有害因素的种类，然后确定主要的危险、有害因素，再对主要危险、有害因素的形式、产生的部位、产生原因及可能的伤害后果等进行详细分析。较次要的危险、有害因素就不再进行详细分析。</w:t>
      </w:r>
    </w:p>
    <w:p w14:paraId="6238CA9A">
      <w:pPr>
        <w:keepNext w:val="0"/>
        <w:keepLines w:val="0"/>
        <w:pageBreakBefore w:val="0"/>
        <w:widowControl w:val="0"/>
        <w:suppressLineNumbers w:val="0"/>
        <w:kinsoku/>
        <w:wordWrap/>
        <w:overflowPunct w:val="0"/>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危险、有害因素分类的方法多种多样，本次评价主要根据《企业职工伤亡事故分类》（GB6441-1986）的相关规定进行分类和识别。</w:t>
      </w:r>
    </w:p>
    <w:p w14:paraId="342DBD5C">
      <w:pPr>
        <w:keepNext w:val="0"/>
        <w:keepLines w:val="0"/>
        <w:pageBreakBefore w:val="0"/>
        <w:widowControl w:val="0"/>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26" w:name="_Toc31175"/>
      <w:bookmarkStart w:id="127" w:name="_Toc15554"/>
      <w:r>
        <w:rPr>
          <w:rFonts w:hint="eastAsia" w:ascii="宋体" w:hAnsi="宋体" w:eastAsia="宋体" w:cs="宋体"/>
          <w:b/>
          <w:bCs/>
          <w:color w:val="000000"/>
          <w:kern w:val="0"/>
          <w:sz w:val="30"/>
          <w:szCs w:val="30"/>
          <w:lang w:val="en-US" w:eastAsia="zh-CN" w:bidi="ar"/>
        </w:rPr>
        <w:t>3.3 生产工艺过程的危险、有害因素</w:t>
      </w:r>
      <w:bookmarkEnd w:id="126"/>
      <w:bookmarkEnd w:id="127"/>
    </w:p>
    <w:p w14:paraId="5AD0815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jc w:val="left"/>
        <w:textAlignment w:val="auto"/>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sz w:val="28"/>
          <w:szCs w:val="28"/>
        </w:rPr>
        <w:t>按照引发事故的起因物、致害物、伤害方式、不安全状态、不安全行为等条件，结合</w:t>
      </w:r>
      <w:r>
        <w:rPr>
          <w:rFonts w:hint="eastAsia"/>
          <w:sz w:val="28"/>
          <w:szCs w:val="28"/>
        </w:rPr>
        <w:t>云南高机精密数控机床有限公司</w:t>
      </w:r>
      <w:r>
        <w:rPr>
          <w:rFonts w:hint="eastAsia" w:ascii="宋体" w:hAnsi="宋体" w:eastAsia="宋体" w:cs="宋体"/>
          <w:sz w:val="28"/>
          <w:szCs w:val="28"/>
        </w:rPr>
        <w:t>在生产和检修过程中可能</w:t>
      </w:r>
      <w:r>
        <w:rPr>
          <w:rFonts w:hint="eastAsia" w:ascii="宋体" w:hAnsi="宋体" w:eastAsia="宋体" w:cs="宋体"/>
          <w:sz w:val="28"/>
          <w:szCs w:val="28"/>
          <w:lang w:eastAsia="zh-CN"/>
        </w:rPr>
        <w:t>涉及的</w:t>
      </w:r>
      <w:r>
        <w:rPr>
          <w:rFonts w:hint="eastAsia" w:ascii="宋体" w:hAnsi="宋体" w:eastAsia="宋体" w:cs="宋体"/>
          <w:sz w:val="28"/>
          <w:szCs w:val="28"/>
        </w:rPr>
        <w:t>危险、有害因素，根据《企业职工伤亡事故分类标准》（GB6441-1986）和《生产过程危险和有害因素分类与代码》</w:t>
      </w:r>
      <w:r>
        <w:rPr>
          <w:rFonts w:hint="eastAsia" w:ascii="宋体" w:hAnsi="宋体" w:eastAsia="宋体" w:cs="宋体"/>
          <w:sz w:val="28"/>
          <w:szCs w:val="28"/>
          <w:lang w:eastAsia="zh-CN"/>
        </w:rPr>
        <w:t>（</w:t>
      </w:r>
      <w:r>
        <w:rPr>
          <w:rFonts w:hint="eastAsia" w:ascii="宋体" w:hAnsi="宋体" w:eastAsia="宋体" w:cs="宋体"/>
          <w:sz w:val="28"/>
          <w:szCs w:val="28"/>
        </w:rPr>
        <w:t>GB</w:t>
      </w:r>
      <w:r>
        <w:rPr>
          <w:rFonts w:hint="eastAsia" w:hAnsi="宋体" w:cs="宋体"/>
          <w:sz w:val="28"/>
          <w:szCs w:val="28"/>
          <w:lang w:val="en-US" w:eastAsia="zh-CN"/>
        </w:rPr>
        <w:t>/</w:t>
      </w:r>
      <w:r>
        <w:rPr>
          <w:rFonts w:hint="eastAsia" w:ascii="宋体" w:hAnsi="宋体" w:eastAsia="宋体" w:cs="宋体"/>
          <w:sz w:val="28"/>
          <w:szCs w:val="28"/>
        </w:rPr>
        <w:t>T13861-</w:t>
      </w:r>
      <w:r>
        <w:rPr>
          <w:rFonts w:hint="eastAsia" w:ascii="宋体" w:hAnsi="宋体" w:eastAsia="宋体" w:cs="宋体"/>
          <w:sz w:val="28"/>
          <w:szCs w:val="28"/>
          <w:lang w:val="en-US" w:eastAsia="zh-CN"/>
        </w:rPr>
        <w:t>2022）</w:t>
      </w:r>
      <w:r>
        <w:rPr>
          <w:rFonts w:hint="eastAsia" w:ascii="宋体" w:hAnsi="宋体" w:eastAsia="宋体" w:cs="宋体"/>
          <w:sz w:val="28"/>
          <w:szCs w:val="28"/>
        </w:rPr>
        <w:t>的规</w:t>
      </w:r>
      <w:r>
        <w:rPr>
          <w:rFonts w:hint="eastAsia" w:ascii="宋体" w:hAnsi="宋体" w:eastAsia="宋体" w:cs="宋体"/>
          <w:color w:val="auto"/>
          <w:sz w:val="28"/>
          <w:szCs w:val="28"/>
        </w:rPr>
        <w:t>定，通过辨识与分析，公司在</w:t>
      </w:r>
      <w:r>
        <w:rPr>
          <w:rFonts w:hint="eastAsia" w:ascii="宋体" w:hAnsi="宋体" w:eastAsia="宋体" w:cs="宋体"/>
          <w:color w:val="000000"/>
          <w:sz w:val="28"/>
          <w:szCs w:val="28"/>
        </w:rPr>
        <w:t>生产及检维修作业过程</w:t>
      </w:r>
      <w:r>
        <w:rPr>
          <w:rFonts w:hint="eastAsia" w:ascii="宋体" w:hAnsi="宋体" w:eastAsia="宋体" w:cs="宋体"/>
          <w:color w:val="000000"/>
          <w:sz w:val="28"/>
          <w:szCs w:val="28"/>
          <w:lang w:val="en-US" w:eastAsia="zh-CN"/>
        </w:rPr>
        <w:t>中存在</w:t>
      </w:r>
      <w:r>
        <w:rPr>
          <w:rFonts w:hint="eastAsia" w:ascii="宋体" w:hAnsi="宋体" w:eastAsia="宋体" w:cs="宋体"/>
          <w:color w:val="000000"/>
          <w:sz w:val="28"/>
          <w:szCs w:val="28"/>
        </w:rPr>
        <w:t>主要危险有害因素为：</w:t>
      </w:r>
      <w:r>
        <w:rPr>
          <w:rFonts w:hint="eastAsia" w:ascii="宋体" w:hAnsi="宋体" w:eastAsia="宋体" w:cs="宋体"/>
          <w:color w:val="000000"/>
          <w:sz w:val="28"/>
          <w:szCs w:val="28"/>
          <w:lang w:val="en-US" w:eastAsia="zh-CN"/>
        </w:rPr>
        <w:t>物体打击、车辆伤害、机械伤害、起重伤害、触电、火灾、高处坠落、坍塌</w:t>
      </w:r>
      <w:r>
        <w:rPr>
          <w:rFonts w:hint="eastAsia" w:hAnsi="宋体" w:cs="宋体"/>
          <w:color w:val="000000"/>
          <w:sz w:val="28"/>
          <w:szCs w:val="28"/>
          <w:lang w:val="en-US" w:eastAsia="zh-CN"/>
        </w:rPr>
        <w:t>、容器爆炸</w:t>
      </w:r>
      <w:r>
        <w:rPr>
          <w:rFonts w:hint="eastAsia" w:ascii="宋体" w:hAnsi="宋体" w:eastAsia="宋体" w:cs="宋体"/>
          <w:color w:val="000000"/>
          <w:sz w:val="28"/>
          <w:szCs w:val="28"/>
        </w:rPr>
        <w:t>等。</w:t>
      </w:r>
    </w:p>
    <w:p w14:paraId="22DBA2B3">
      <w:pPr>
        <w:keepNext w:val="0"/>
        <w:keepLines w:val="0"/>
        <w:pageBreakBefore w:val="0"/>
        <w:kinsoku/>
        <w:wordWrap/>
        <w:overflowPunct/>
        <w:topLinePunct w:val="0"/>
        <w:autoSpaceDE/>
        <w:autoSpaceDN/>
        <w:bidi w:val="0"/>
        <w:adjustRightInd/>
        <w:snapToGrid/>
        <w:spacing w:line="600" w:lineRule="exact"/>
        <w:textAlignment w:val="auto"/>
        <w:outlineLvl w:val="2"/>
        <w:rPr>
          <w:rFonts w:hint="eastAsia"/>
          <w:b/>
          <w:bCs/>
          <w:sz w:val="28"/>
          <w:szCs w:val="28"/>
          <w:lang w:val="en-US" w:eastAsia="zh-CN"/>
        </w:rPr>
      </w:pPr>
      <w:bookmarkStart w:id="128" w:name="_Toc8341"/>
      <w:bookmarkStart w:id="129" w:name="_Toc31857"/>
      <w:r>
        <w:rPr>
          <w:rFonts w:hint="eastAsia"/>
          <w:b/>
          <w:bCs/>
          <w:sz w:val="28"/>
          <w:szCs w:val="28"/>
          <w:lang w:val="en-US" w:eastAsia="zh-CN"/>
        </w:rPr>
        <w:t>3.3.1物体打击</w:t>
      </w:r>
      <w:bookmarkEnd w:id="128"/>
      <w:bookmarkEnd w:id="129"/>
    </w:p>
    <w:p w14:paraId="4333B18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物体打击，是指物体在重力或其他外力的作用下产生运动，打击人体造成人身伤亡事故。导致物体打击的原因分析如下： </w:t>
      </w:r>
    </w:p>
    <w:p w14:paraId="3398CCC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（1）在机加工过程中外露的皮带轮、齿轮、丝杠、卡盘等转动部件直接将衣服、衣袖、裤脚、手套、围裙、长发绞入机器中，造成人身的伤害。 </w:t>
      </w:r>
    </w:p>
    <w:p w14:paraId="72E4493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（2）物件设备摆放不稳，倾覆；易滚动物件堆放无防滚动措施； </w:t>
      </w:r>
    </w:p>
    <w:p w14:paraId="28988FC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（3）在机床加工过程中对加工物件的夹具未夹正、夹牢，工件飞出伤人； </w:t>
      </w:r>
    </w:p>
    <w:p w14:paraId="67FB527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（4）在机械装配时，手锤击打工件铁屑飞出造成人身伤害； </w:t>
      </w:r>
    </w:p>
    <w:p w14:paraId="5DFF81E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（5）工件、材料在搬运过程中出现失误、违章； </w:t>
      </w:r>
    </w:p>
    <w:p w14:paraId="4B3CF37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（6）抛光打磨过程中的金属屑飞溅； </w:t>
      </w:r>
    </w:p>
    <w:p w14:paraId="44BF699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（7）防护装置失效； </w:t>
      </w:r>
    </w:p>
    <w:p w14:paraId="04DA0C8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（8）在高处作业时工具、物件放置不当； </w:t>
      </w:r>
    </w:p>
    <w:p w14:paraId="05A7D01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（9）作业人员进入作业现场没有按照要求佩戴安全帽； </w:t>
      </w:r>
    </w:p>
    <w:p w14:paraId="067FB7E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（10）在设备安装、检修、拆除过程中，由于工艺措施不当或违章、冒险作业，而导致零部件发生移动和坠落。</w:t>
      </w:r>
    </w:p>
    <w:p w14:paraId="5AF53B6E">
      <w:pPr>
        <w:keepNext w:val="0"/>
        <w:keepLines w:val="0"/>
        <w:pageBreakBefore w:val="0"/>
        <w:kinsoku/>
        <w:wordWrap/>
        <w:overflowPunct/>
        <w:topLinePunct w:val="0"/>
        <w:autoSpaceDE/>
        <w:autoSpaceDN/>
        <w:bidi w:val="0"/>
        <w:adjustRightInd/>
        <w:snapToGrid/>
        <w:spacing w:line="600" w:lineRule="exact"/>
        <w:textAlignment w:val="auto"/>
        <w:outlineLvl w:val="2"/>
        <w:rPr>
          <w:rFonts w:hint="eastAsia"/>
          <w:b/>
          <w:bCs/>
          <w:sz w:val="28"/>
          <w:szCs w:val="28"/>
          <w:lang w:val="en-US" w:eastAsia="zh-CN"/>
        </w:rPr>
      </w:pPr>
      <w:bookmarkStart w:id="130" w:name="_Toc427"/>
      <w:bookmarkStart w:id="131" w:name="_Toc23585"/>
      <w:r>
        <w:rPr>
          <w:rFonts w:hint="eastAsia"/>
          <w:b/>
          <w:bCs/>
          <w:sz w:val="28"/>
          <w:szCs w:val="28"/>
          <w:lang w:val="en-US" w:eastAsia="zh-CN"/>
        </w:rPr>
        <w:t>3.3.2车辆伤害</w:t>
      </w:r>
      <w:bookmarkEnd w:id="130"/>
      <w:bookmarkEnd w:id="131"/>
    </w:p>
    <w:p w14:paraId="0609409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车辆伤害是指车辆在行驶中引起的人体坠落和物体倒塌、飞落、挤压伤亡事故，不包括因机械设备、车辆、起重机械、山崩等引发的物体打击。在生产过程中，由于车辆发生故障或失效、人员操作失误或违章作业，都可能导致人身伤亡事故或造成财产损失。</w:t>
      </w:r>
    </w:p>
    <w:p w14:paraId="5457DA4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lang w:val="en-US" w:eastAsia="zh-CN"/>
        </w:rPr>
      </w:pPr>
      <w:r>
        <w:rPr>
          <w:rFonts w:hint="eastAsia" w:ascii="宋体" w:hAnsi="宋体" w:eastAsia="宋体" w:cs="宋体"/>
          <w:color w:val="000000"/>
          <w:kern w:val="0"/>
          <w:sz w:val="28"/>
          <w:szCs w:val="28"/>
          <w:lang w:val="en-US" w:eastAsia="zh-CN" w:bidi="ar"/>
        </w:rPr>
        <w:t xml:space="preserve">（1）碰撞和碾轧的危险 </w:t>
      </w:r>
    </w:p>
    <w:p w14:paraId="7891D20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1)车辆造成碾轧、撞伤事故，倒车时存在视野死角可能发生此类事故，包括对作业人员、过路行人或作业场地其它人员的撞轧； </w:t>
      </w:r>
    </w:p>
    <w:p w14:paraId="1FFF917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2)作业人员与车辆距离过近，可能造成刮碰或撞击； </w:t>
      </w:r>
    </w:p>
    <w:p w14:paraId="1759D145">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3)两车辆之间在作业区内错车或通过交叉路口时的撞车或刮碰； </w:t>
      </w:r>
    </w:p>
    <w:p w14:paraId="4B6D28F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4)车辆运送物料造成倾倒、坍塌的伤害危险； </w:t>
      </w:r>
    </w:p>
    <w:p w14:paraId="2B4BA1B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5)装载货物的车辆由于撞击、倾翻，或撞击设备、设施、堆垛等导致物料倾倒打击伤人； </w:t>
      </w:r>
    </w:p>
    <w:p w14:paraId="58A85D2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6)装卸货物人员组织、安排不周，导致卸货物料撞击； </w:t>
      </w:r>
    </w:p>
    <w:p w14:paraId="22FAAE9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7)料堆坍塌造成对人员的掩埋。 </w:t>
      </w:r>
    </w:p>
    <w:p w14:paraId="7DCEF7F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（2）违章和无证驾车 </w:t>
      </w:r>
    </w:p>
    <w:p w14:paraId="4F8FB45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指事故的当事人，由于思想方面的原因而导致的错误操作行为，不按有关规定行驶，扰乱正常的企业内搬运秩序，致使事故发生。如酒后驾车，疲劳驾车，非驾驶员驾车，超速行驶，争道抢行，违章超车，违章装载、无证驾驶等原因造成的车辆伤害事故。 </w:t>
      </w:r>
    </w:p>
    <w:p w14:paraId="67964BF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（3）人的安全意识淡薄 </w:t>
      </w:r>
    </w:p>
    <w:p w14:paraId="6B3393B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pPr>
      <w:r>
        <w:rPr>
          <w:rFonts w:hint="eastAsia" w:ascii="宋体" w:hAnsi="宋体" w:eastAsia="宋体" w:cs="宋体"/>
          <w:color w:val="000000"/>
          <w:kern w:val="0"/>
          <w:sz w:val="28"/>
          <w:szCs w:val="28"/>
          <w:lang w:val="en-US" w:eastAsia="zh-CN" w:bidi="ar"/>
        </w:rPr>
        <w:t>指当事人由于心理或生理方面的原因，没有及时、正确的观察和判断道路情况，而造成失误，如情绪急躁、精神分散、心理烦乱、身体不适等都可能造成注意力下降，反应迟钝，表现出瞭望观察不周，遇到情况采取措施不及时或不当；也有的只凭主观想象判断情况，或过高地估计自己的经验技术，过分自信，引起操作失误导致事故。</w:t>
      </w:r>
    </w:p>
    <w:p w14:paraId="188E73ED">
      <w:pPr>
        <w:keepNext w:val="0"/>
        <w:keepLines w:val="0"/>
        <w:pageBreakBefore w:val="0"/>
        <w:kinsoku/>
        <w:wordWrap/>
        <w:overflowPunct/>
        <w:topLinePunct w:val="0"/>
        <w:autoSpaceDE/>
        <w:autoSpaceDN/>
        <w:bidi w:val="0"/>
        <w:adjustRightInd/>
        <w:snapToGrid/>
        <w:spacing w:line="600" w:lineRule="exact"/>
        <w:textAlignment w:val="auto"/>
        <w:outlineLvl w:val="2"/>
        <w:rPr>
          <w:rFonts w:hint="eastAsia"/>
          <w:b/>
          <w:bCs/>
          <w:sz w:val="28"/>
          <w:szCs w:val="28"/>
          <w:lang w:val="en-US" w:eastAsia="zh-CN"/>
        </w:rPr>
      </w:pPr>
      <w:bookmarkStart w:id="132" w:name="_Toc3991"/>
      <w:bookmarkStart w:id="133" w:name="_Toc24772"/>
      <w:r>
        <w:rPr>
          <w:rFonts w:hint="eastAsia"/>
          <w:b/>
          <w:bCs/>
          <w:sz w:val="28"/>
          <w:szCs w:val="28"/>
          <w:lang w:val="en-US" w:eastAsia="zh-CN"/>
        </w:rPr>
        <w:t>3.3.3机械伤害</w:t>
      </w:r>
      <w:bookmarkEnd w:id="132"/>
      <w:bookmarkEnd w:id="133"/>
    </w:p>
    <w:p w14:paraId="5BB9B587">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宋体" w:eastAsia="宋体" w:cs="宋体"/>
          <w:color w:val="000000"/>
          <w:kern w:val="0"/>
          <w:sz w:val="28"/>
          <w:szCs w:val="28"/>
          <w:lang w:val="en-US" w:eastAsia="zh-CN" w:bidi="ar"/>
        </w:rPr>
        <w:t>机械伤害是指机械设备运动（静止）部件、工具、加工件直接与人体接触引起的夹压、碰撞、剪切、卷入、绞、碾、割、刺等伤害，不包括车辆、起重机械引起的机械伤害。存在的机械伤害的因素如下：</w:t>
      </w:r>
    </w:p>
    <w:p w14:paraId="73B5BFA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（1）设备传动部件或转动轴无防护栏、罩或防护栏、罩有缺陷； </w:t>
      </w:r>
    </w:p>
    <w:p w14:paraId="0ECBA5E5">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（2）不正确穿戴和使用劳动防护用品和用具； </w:t>
      </w:r>
    </w:p>
    <w:p w14:paraId="35B2522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（3）操作者违反操作规程，安全意识不强，疲劳过度等； </w:t>
      </w:r>
    </w:p>
    <w:p w14:paraId="6E03DDF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（4）作业现场照明不良，防护标志缺陷； </w:t>
      </w:r>
    </w:p>
    <w:p w14:paraId="0476B66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（5）防护设施失效,联锁装置缺陷； </w:t>
      </w:r>
    </w:p>
    <w:p w14:paraId="6044847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（6）机械设备使用的刀具、工夹具以及加工的零件等一定要安装牢固，不得松动。 </w:t>
      </w:r>
    </w:p>
    <w:p w14:paraId="63275473">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i w:val="0"/>
          <w:iCs w:val="0"/>
          <w:caps w:val="0"/>
          <w:color w:val="333333"/>
          <w:spacing w:val="0"/>
          <w:sz w:val="28"/>
          <w:szCs w:val="28"/>
          <w:shd w:val="clear" w:fill="FFFFFF"/>
        </w:rPr>
      </w:pPr>
      <w:r>
        <w:rPr>
          <w:rFonts w:hint="eastAsia" w:ascii="宋体" w:hAnsi="宋体" w:eastAsia="宋体" w:cs="宋体"/>
          <w:color w:val="000000"/>
          <w:kern w:val="0"/>
          <w:sz w:val="28"/>
          <w:szCs w:val="28"/>
          <w:lang w:val="en-US" w:eastAsia="zh-CN" w:bidi="ar"/>
        </w:rPr>
        <w:t>（7）在操作过程中，采用安全的手用工具完成送料、定位、取件及清理边角料等操作，可防止手指被模具轧伤。</w:t>
      </w:r>
    </w:p>
    <w:p w14:paraId="2346C5C0">
      <w:pPr>
        <w:keepNext w:val="0"/>
        <w:keepLines w:val="0"/>
        <w:pageBreakBefore w:val="0"/>
        <w:widowControl/>
        <w:suppressLineNumbers w:val="0"/>
        <w:kinsoku/>
        <w:wordWrap/>
        <w:overflowPunct/>
        <w:topLinePunct w:val="0"/>
        <w:autoSpaceDE/>
        <w:autoSpaceDN/>
        <w:bidi w:val="0"/>
        <w:adjustRightInd/>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34" w:name="_Toc32058"/>
      <w:bookmarkStart w:id="135" w:name="_Toc10229"/>
      <w:r>
        <w:rPr>
          <w:rFonts w:hint="eastAsia" w:ascii="宋体" w:hAnsi="宋体" w:eastAsia="宋体" w:cs="宋体"/>
          <w:b/>
          <w:bCs/>
          <w:color w:val="000000"/>
          <w:kern w:val="0"/>
          <w:sz w:val="28"/>
          <w:szCs w:val="28"/>
          <w:lang w:val="en-US" w:eastAsia="zh-CN" w:bidi="ar"/>
        </w:rPr>
        <w:t>3.3.4 起重伤害</w:t>
      </w:r>
      <w:bookmarkEnd w:id="134"/>
      <w:bookmarkEnd w:id="135"/>
    </w:p>
    <w:p w14:paraId="7112C7E8">
      <w:pPr>
        <w:pStyle w:val="7"/>
        <w:keepNext w:val="0"/>
        <w:keepLines w:val="0"/>
        <w:pageBreakBefore w:val="0"/>
        <w:widowControl w:val="0"/>
        <w:kinsoku/>
        <w:wordWrap/>
        <w:overflowPunct/>
        <w:topLinePunct w:val="0"/>
        <w:autoSpaceDE/>
        <w:autoSpaceDN/>
        <w:bidi w:val="0"/>
        <w:adjustRightInd/>
        <w:snapToGrid w:val="0"/>
        <w:spacing w:after="0" w:line="600" w:lineRule="exact"/>
        <w:ind w:firstLine="560" w:firstLineChars="200"/>
        <w:textAlignment w:val="auto"/>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pPr>
      <w:r>
        <w:rPr>
          <w:rFonts w:hint="eastAsia"/>
          <w:sz w:val="28"/>
          <w:szCs w:val="28"/>
        </w:rPr>
        <w:t>云南高机精密数控机床有限公司</w:t>
      </w:r>
      <w:r>
        <w:rPr>
          <w:rFonts w:hint="eastAsia" w:ascii="宋体" w:hAnsi="宋体" w:eastAsia="宋体" w:cs="宋体"/>
          <w:color w:val="000000" w:themeColor="text1"/>
          <w:sz w:val="28"/>
          <w:szCs w:val="24"/>
          <w:shd w:val="clear" w:color="auto" w:fill="auto"/>
          <w14:textFill>
            <w14:solidFill>
              <w14:schemeClr w14:val="tx1"/>
            </w14:solidFill>
          </w14:textFill>
        </w:rPr>
        <w:t>生产车间内使用到起重机械设备</w:t>
      </w:r>
      <w:r>
        <w:rPr>
          <w:rFonts w:hint="eastAsia" w:ascii="宋体" w:hAnsi="宋体" w:eastAsia="宋体" w:cs="宋体"/>
          <w:color w:val="000000" w:themeColor="text1"/>
          <w:sz w:val="28"/>
          <w:szCs w:val="24"/>
          <w:shd w:val="clear" w:color="auto" w:fill="auto"/>
          <w:lang w:eastAsia="zh-CN"/>
          <w14:textFill>
            <w14:solidFill>
              <w14:schemeClr w14:val="tx1"/>
            </w14:solidFill>
          </w14:textFill>
        </w:rPr>
        <w:t>（</w:t>
      </w:r>
      <w:r>
        <w:rPr>
          <w:rFonts w:hint="eastAsia" w:ascii="宋体" w:hAnsi="宋体" w:eastAsia="宋体" w:cs="宋体"/>
          <w:color w:val="000000" w:themeColor="text1"/>
          <w:sz w:val="28"/>
          <w:szCs w:val="24"/>
          <w:shd w:val="clear" w:color="auto" w:fill="auto"/>
          <w:lang w:val="en-US" w:eastAsia="zh-CN"/>
          <w14:textFill>
            <w14:solidFill>
              <w14:schemeClr w14:val="tx1"/>
            </w14:solidFill>
          </w14:textFill>
        </w:rPr>
        <w:t>行车</w:t>
      </w:r>
      <w:r>
        <w:rPr>
          <w:rFonts w:hint="eastAsia" w:ascii="宋体" w:hAnsi="宋体" w:eastAsia="宋体" w:cs="宋体"/>
          <w:color w:val="000000" w:themeColor="text1"/>
          <w:sz w:val="28"/>
          <w:szCs w:val="24"/>
          <w:shd w:val="clear" w:color="auto" w:fill="auto"/>
          <w:lang w:eastAsia="zh-CN"/>
          <w14:textFill>
            <w14:solidFill>
              <w14:schemeClr w14:val="tx1"/>
            </w14:solidFill>
          </w14:textFill>
        </w:rPr>
        <w:t>）</w:t>
      </w:r>
      <w:r>
        <w:rPr>
          <w:rFonts w:hint="eastAsia" w:ascii="宋体" w:hAnsi="宋体" w:eastAsia="宋体" w:cs="宋体"/>
          <w:color w:val="000000" w:themeColor="text1"/>
          <w:sz w:val="28"/>
          <w:szCs w:val="24"/>
          <w:shd w:val="clear" w:color="auto" w:fill="auto"/>
          <w14:textFill>
            <w14:solidFill>
              <w14:schemeClr w14:val="tx1"/>
            </w14:solidFill>
          </w14:textFill>
        </w:rPr>
        <w:t>，</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在作业过程中有可能发生起重伤害，其主要原因如下：</w:t>
      </w:r>
    </w:p>
    <w:p w14:paraId="259A9D5F">
      <w:pPr>
        <w:pStyle w:val="7"/>
        <w:keepNext w:val="0"/>
        <w:keepLines w:val="0"/>
        <w:pageBreakBefore w:val="0"/>
        <w:widowControl w:val="0"/>
        <w:kinsoku/>
        <w:wordWrap/>
        <w:overflowPunct/>
        <w:topLinePunct w:val="0"/>
        <w:autoSpaceDE/>
        <w:autoSpaceDN/>
        <w:bidi w:val="0"/>
        <w:adjustRightInd/>
        <w:snapToGrid w:val="0"/>
        <w:spacing w:after="0" w:line="6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①</w:t>
      </w:r>
      <w:r>
        <w:rPr>
          <w:rFonts w:hint="eastAsia" w:ascii="宋体" w:hAnsi="宋体" w:eastAsia="宋体" w:cs="宋体"/>
          <w:color w:val="000000" w:themeColor="text1"/>
          <w:sz w:val="28"/>
          <w:szCs w:val="28"/>
          <w14:textFill>
            <w14:solidFill>
              <w14:schemeClr w14:val="tx1"/>
            </w14:solidFill>
          </w14:textFill>
        </w:rPr>
        <w:t>操作失误：操作人员缺乏足够的培训和经验，导致操作不当，如起重速度控制不当、操作动作不准确等。</w:t>
      </w:r>
    </w:p>
    <w:p w14:paraId="458B900D">
      <w:pPr>
        <w:pStyle w:val="7"/>
        <w:keepNext w:val="0"/>
        <w:keepLines w:val="0"/>
        <w:pageBreakBefore w:val="0"/>
        <w:widowControl w:val="0"/>
        <w:kinsoku/>
        <w:wordWrap/>
        <w:overflowPunct/>
        <w:topLinePunct w:val="0"/>
        <w:autoSpaceDE/>
        <w:autoSpaceDN/>
        <w:bidi w:val="0"/>
        <w:adjustRightInd/>
        <w:snapToGrid w:val="0"/>
        <w:spacing w:after="0" w:line="6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②</w:t>
      </w:r>
      <w:r>
        <w:rPr>
          <w:rFonts w:hint="eastAsia" w:ascii="宋体" w:hAnsi="宋体" w:eastAsia="宋体" w:cs="宋体"/>
          <w:color w:val="000000" w:themeColor="text1"/>
          <w:sz w:val="28"/>
          <w:szCs w:val="28"/>
          <w14:textFill>
            <w14:solidFill>
              <w14:schemeClr w14:val="tx1"/>
            </w14:solidFill>
          </w14:textFill>
        </w:rPr>
        <w:t>设备故障：起重机械设备本身存在缺陷或老化，例如断裂的吊钩、电路故障、制动系统失效等。</w:t>
      </w:r>
    </w:p>
    <w:p w14:paraId="50084E30">
      <w:pPr>
        <w:pStyle w:val="7"/>
        <w:keepNext w:val="0"/>
        <w:keepLines w:val="0"/>
        <w:pageBreakBefore w:val="0"/>
        <w:widowControl w:val="0"/>
        <w:kinsoku/>
        <w:wordWrap/>
        <w:overflowPunct/>
        <w:topLinePunct w:val="0"/>
        <w:autoSpaceDE/>
        <w:autoSpaceDN/>
        <w:bidi w:val="0"/>
        <w:adjustRightInd/>
        <w:snapToGrid w:val="0"/>
        <w:spacing w:after="0" w:line="600" w:lineRule="exact"/>
        <w:ind w:firstLine="560" w:firstLineChars="200"/>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③</w:t>
      </w:r>
      <w:r>
        <w:rPr>
          <w:rFonts w:hint="eastAsia" w:ascii="宋体" w:hAnsi="宋体" w:eastAsia="宋体" w:cs="宋体"/>
          <w:color w:val="000000" w:themeColor="text1"/>
          <w:sz w:val="28"/>
          <w:szCs w:val="28"/>
          <w14:textFill>
            <w14:solidFill>
              <w14:schemeClr w14:val="tx1"/>
            </w14:solidFill>
          </w14:textFill>
        </w:rPr>
        <w:t>不安全的工作环境：如工作场所狭小、地面不平、周围有障碍物等，这些因素可能导致起重机在操作过程中不稳定或无法正常操作。</w:t>
      </w:r>
    </w:p>
    <w:p w14:paraId="32527189">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000000"/>
          <w:sz w:val="28"/>
          <w:szCs w:val="24"/>
        </w:rPr>
      </w:pPr>
      <w:r>
        <w:rPr>
          <w:rFonts w:hint="eastAsia" w:ascii="宋体" w:hAnsi="宋体" w:eastAsia="宋体" w:cs="宋体"/>
          <w:color w:val="000000" w:themeColor="text1"/>
          <w:sz w:val="28"/>
          <w:szCs w:val="28"/>
          <w:lang w:val="en-US" w:eastAsia="zh-CN"/>
          <w14:textFill>
            <w14:solidFill>
              <w14:schemeClr w14:val="tx1"/>
            </w14:solidFill>
          </w14:textFill>
        </w:rPr>
        <w:t>④</w:t>
      </w:r>
      <w:r>
        <w:rPr>
          <w:rFonts w:hint="eastAsia" w:ascii="宋体" w:hAnsi="宋体" w:eastAsia="宋体" w:cs="宋体"/>
          <w:color w:val="000000" w:themeColor="text1"/>
          <w:sz w:val="28"/>
          <w:szCs w:val="28"/>
          <w14:textFill>
            <w14:solidFill>
              <w14:schemeClr w14:val="tx1"/>
            </w14:solidFill>
          </w14:textFill>
        </w:rPr>
        <w:t>不合适的操作规程：缺乏或未严格遵守安全操作规程和标准操作程序，如未经允许超载操作、未按规定检查设备等。</w:t>
      </w:r>
    </w:p>
    <w:p w14:paraId="66B9D320">
      <w:pPr>
        <w:keepNext w:val="0"/>
        <w:keepLines w:val="0"/>
        <w:pageBreakBefore w:val="0"/>
        <w:widowControl/>
        <w:suppressLineNumbers w:val="0"/>
        <w:kinsoku/>
        <w:wordWrap/>
        <w:overflowPunct/>
        <w:topLinePunct w:val="0"/>
        <w:autoSpaceDE/>
        <w:autoSpaceDN/>
        <w:bidi w:val="0"/>
        <w:spacing w:line="600" w:lineRule="exact"/>
        <w:jc w:val="left"/>
        <w:textAlignment w:val="auto"/>
        <w:outlineLvl w:val="2"/>
        <w:rPr>
          <w:rFonts w:hint="eastAsia" w:ascii="宋体" w:hAnsi="Times New Roman" w:eastAsia="宋体" w:cs="Times New Roman"/>
          <w:sz w:val="24"/>
          <w:lang w:val="en-US" w:eastAsia="zh-CN" w:bidi="ar-SA"/>
        </w:rPr>
      </w:pPr>
      <w:bookmarkStart w:id="136" w:name="_Toc11599"/>
      <w:bookmarkStart w:id="137" w:name="_Toc21128"/>
      <w:r>
        <w:rPr>
          <w:rFonts w:hint="eastAsia" w:ascii="宋体" w:hAnsi="宋体" w:eastAsia="宋体" w:cs="宋体"/>
          <w:b/>
          <w:bCs/>
          <w:color w:val="000000"/>
          <w:kern w:val="0"/>
          <w:sz w:val="28"/>
          <w:szCs w:val="28"/>
          <w:lang w:val="en-US" w:eastAsia="zh-CN" w:bidi="ar"/>
        </w:rPr>
        <w:t>3.3.5 触电</w:t>
      </w:r>
      <w:bookmarkEnd w:id="136"/>
      <w:bookmarkEnd w:id="137"/>
    </w:p>
    <w:p w14:paraId="46D7818F">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生产过程中由于电气设备的大量使用，如果这些设备保护接地不好或者失效、漏电等，可能导致设备带电，会导致操作人员触电，发生触电事故。</w:t>
      </w:r>
    </w:p>
    <w:p w14:paraId="620208C1">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操作人员在各种电气设备的使用、维修、保养的过程中，均存在着触电的危险，特别在工作环境潮湿严重的场所和部位，会增加这类危险的程度。导致触电事故的原因主要有：</w:t>
      </w:r>
    </w:p>
    <w:p w14:paraId="59EADA83">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（1）违章作业或线路老化；</w:t>
      </w:r>
    </w:p>
    <w:p w14:paraId="0D069910">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（2）高压电线安全距离不足、高压用电设备绝缘失效；</w:t>
      </w:r>
    </w:p>
    <w:p w14:paraId="3A89C6E5">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（3）电缆铺设不规范，与钢架直接缠绕架设，电路接头裸露等；</w:t>
      </w:r>
    </w:p>
    <w:p w14:paraId="663F32CF">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（4）电气线路、设备设计上的不合理、选型不合理、安装上存在缺陷、超负荷使用；</w:t>
      </w:r>
    </w:p>
    <w:p w14:paraId="454CAFD8">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（5）电气设备质量缺陷或未按规定接零；</w:t>
      </w:r>
    </w:p>
    <w:p w14:paraId="77E7F856">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（6）线路磨损、压破绝缘层使外壳带电，设备缺少漏电保护等防护装置；</w:t>
      </w:r>
    </w:p>
    <w:p w14:paraId="46FF7357">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（7）检修作业不填写操作票或不执行监护制度，使用不合格绝缘工具和电气工具；</w:t>
      </w:r>
    </w:p>
    <w:p w14:paraId="12EAEF6C">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（8）线路或电气设备工作完毕，未办理工作票终结手续，就对停电设备恢复送电；</w:t>
      </w:r>
    </w:p>
    <w:p w14:paraId="0D21CAE7">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（9）在带电设备附近进行作业，不符合安全距离或无监护措施；</w:t>
      </w:r>
    </w:p>
    <w:p w14:paraId="23B8DC70">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（10）跨越安全围栏或超越安全警戒线，工作人员走错间隔误碰带电设备，以及在带电设备附近使用钢卷尺等进行测量或携带金属超高物体在带电设备下行走；</w:t>
      </w:r>
    </w:p>
    <w:p w14:paraId="6799A6D8">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（11）绝缘胶鞋破损透水，导致绝缘失效，作业者身体或工具碰到带电设备或线路上；</w:t>
      </w:r>
    </w:p>
    <w:p w14:paraId="5008AD8E">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（12）缺少标志或标志不明显；</w:t>
      </w:r>
    </w:p>
    <w:p w14:paraId="592CA4D4">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（13）工作人员擅自扩大工作范围；</w:t>
      </w:r>
    </w:p>
    <w:p w14:paraId="6FB64AB9">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（14）使用电动工具不戴绝缘手套；</w:t>
      </w:r>
    </w:p>
    <w:p w14:paraId="27B964DE">
      <w:pPr>
        <w:keepNext w:val="0"/>
        <w:keepLines w:val="0"/>
        <w:pageBreakBefore w:val="0"/>
        <w:widowControl w:val="0"/>
        <w:kinsoku/>
        <w:wordWrap/>
        <w:overflowPunct/>
        <w:topLinePunct w:val="0"/>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（15）在潮湿地区作业，不穿绝缘鞋，无绝缘垫，无人监护，电气作业的安全管理工作存在漏洞等；</w:t>
      </w:r>
    </w:p>
    <w:p w14:paraId="60FC25E5">
      <w:pPr>
        <w:keepNext w:val="0"/>
        <w:keepLines w:val="0"/>
        <w:pageBreakBefore w:val="0"/>
        <w:widowControl/>
        <w:suppressLineNumbers w:val="0"/>
        <w:kinsoku/>
        <w:wordWrap/>
        <w:overflowPunct/>
        <w:topLinePunct w:val="0"/>
        <w:autoSpaceDE/>
        <w:autoSpaceDN/>
        <w:bidi w:val="0"/>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38" w:name="_Toc13447"/>
      <w:bookmarkStart w:id="139" w:name="_Toc5136"/>
      <w:r>
        <w:rPr>
          <w:rFonts w:hint="eastAsia" w:ascii="宋体" w:hAnsi="宋体" w:eastAsia="宋体" w:cs="宋体"/>
          <w:b/>
          <w:bCs/>
          <w:color w:val="000000"/>
          <w:kern w:val="0"/>
          <w:sz w:val="28"/>
          <w:szCs w:val="28"/>
          <w:lang w:val="en-US" w:eastAsia="zh-CN" w:bidi="ar"/>
        </w:rPr>
        <w:t>3.3.6 火灾</w:t>
      </w:r>
      <w:bookmarkEnd w:id="138"/>
      <w:bookmarkEnd w:id="139"/>
    </w:p>
    <w:p w14:paraId="137CA205">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snapToGrid w:val="0"/>
          <w:color w:val="000000" w:themeColor="text1"/>
          <w:kern w:val="0"/>
          <w:sz w:val="28"/>
          <w:szCs w:val="28"/>
          <w:lang w:eastAsia="zh-CN"/>
          <w14:textFill>
            <w14:solidFill>
              <w14:schemeClr w14:val="tx1"/>
            </w14:solidFill>
          </w14:textFill>
        </w:rPr>
      </w:pP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公司生产作业区、</w:t>
      </w:r>
      <w:r>
        <w:rPr>
          <w:rFonts w:hint="eastAsia" w:ascii="宋体" w:hAnsi="宋体" w:eastAsia="宋体" w:cs="宋体"/>
          <w:snapToGrid w:val="0"/>
          <w:color w:val="000000" w:themeColor="text1"/>
          <w:kern w:val="0"/>
          <w:sz w:val="28"/>
          <w:szCs w:val="28"/>
          <w:lang w:eastAsia="zh-CN"/>
          <w14:textFill>
            <w14:solidFill>
              <w14:schemeClr w14:val="tx1"/>
            </w14:solidFill>
          </w14:textFill>
        </w:rPr>
        <w:t>办公室、</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休息</w:t>
      </w:r>
      <w:r>
        <w:rPr>
          <w:rFonts w:hint="eastAsia" w:ascii="宋体" w:hAnsi="宋体" w:eastAsia="宋体" w:cs="宋体"/>
          <w:snapToGrid w:val="0"/>
          <w:color w:val="000000" w:themeColor="text1"/>
          <w:kern w:val="0"/>
          <w:sz w:val="28"/>
          <w:szCs w:val="28"/>
          <w:lang w:eastAsia="zh-CN"/>
          <w14:textFill>
            <w14:solidFill>
              <w14:schemeClr w14:val="tx1"/>
            </w14:solidFill>
          </w14:textFill>
        </w:rPr>
        <w:t>区</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等场所用电、动火可能会发生火灾事故，</w:t>
      </w:r>
      <w:r>
        <w:rPr>
          <w:rFonts w:hint="eastAsia" w:ascii="宋体" w:hAnsi="宋体" w:eastAsia="宋体" w:cs="宋体"/>
          <w:snapToGrid w:val="0"/>
          <w:color w:val="000000" w:themeColor="text1"/>
          <w:kern w:val="0"/>
          <w:sz w:val="28"/>
          <w:szCs w:val="28"/>
          <w:lang w:eastAsia="zh-CN"/>
          <w14:textFill>
            <w14:solidFill>
              <w14:schemeClr w14:val="tx1"/>
            </w14:solidFill>
          </w14:textFill>
        </w:rPr>
        <w:t>造成人员伤亡。</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其危险有害因素分析如下：</w:t>
      </w:r>
    </w:p>
    <w:p w14:paraId="26AF8847">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1</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电气火灾危险性分析</w:t>
      </w:r>
    </w:p>
    <w:p w14:paraId="21394112">
      <w:pPr>
        <w:keepNext w:val="0"/>
        <w:keepLines w:val="0"/>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①变压器站：杆上断路器、熔断器、计量装置等</w:t>
      </w:r>
      <w:r>
        <w:rPr>
          <w:rFonts w:hint="eastAsia" w:ascii="宋体" w:hAnsi="宋体" w:eastAsia="宋体" w:cs="宋体"/>
          <w:color w:val="000000" w:themeColor="text1"/>
          <w:sz w:val="28"/>
          <w:szCs w:val="28"/>
          <w14:textFill>
            <w14:solidFill>
              <w14:schemeClr w14:val="tx1"/>
            </w14:solidFill>
          </w14:textFill>
        </w:rPr>
        <w:t>可能因短路、过载</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线路老化等</w:t>
      </w:r>
      <w:r>
        <w:rPr>
          <w:rFonts w:hint="eastAsia" w:ascii="宋体" w:hAnsi="宋体" w:eastAsia="宋体" w:cs="宋体"/>
          <w:color w:val="000000" w:themeColor="text1"/>
          <w:sz w:val="28"/>
          <w:szCs w:val="28"/>
          <w14:textFill>
            <w14:solidFill>
              <w14:schemeClr w14:val="tx1"/>
            </w14:solidFill>
          </w14:textFill>
        </w:rPr>
        <w:t>产生电火花、电弧</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引起线路起火或</w:t>
      </w:r>
      <w:r>
        <w:rPr>
          <w:rFonts w:hint="eastAsia" w:ascii="宋体" w:hAnsi="宋体" w:eastAsia="宋体" w:cs="宋体"/>
          <w:color w:val="000000" w:themeColor="text1"/>
          <w:sz w:val="28"/>
          <w:szCs w:val="28"/>
          <w:lang w:val="en-US" w:eastAsia="zh-CN"/>
          <w14:textFill>
            <w14:solidFill>
              <w14:schemeClr w14:val="tx1"/>
            </w14:solidFill>
          </w14:textFill>
        </w:rPr>
        <w:t>变压器</w:t>
      </w:r>
      <w:r>
        <w:rPr>
          <w:rFonts w:hint="eastAsia" w:ascii="宋体" w:hAnsi="宋体" w:eastAsia="宋体" w:cs="宋体"/>
          <w:color w:val="000000" w:themeColor="text1"/>
          <w:sz w:val="28"/>
          <w:szCs w:val="28"/>
          <w14:textFill>
            <w14:solidFill>
              <w14:schemeClr w14:val="tx1"/>
            </w14:solidFill>
          </w14:textFill>
        </w:rPr>
        <w:t>过热</w:t>
      </w:r>
      <w:r>
        <w:rPr>
          <w:rFonts w:hint="eastAsia" w:ascii="宋体" w:hAnsi="宋体" w:eastAsia="宋体" w:cs="宋体"/>
          <w:color w:val="000000" w:themeColor="text1"/>
          <w:sz w:val="28"/>
          <w:szCs w:val="28"/>
          <w:lang w:val="en-US" w:eastAsia="zh-CN"/>
          <w14:textFill>
            <w14:solidFill>
              <w14:schemeClr w14:val="tx1"/>
            </w14:solidFill>
          </w14:textFill>
        </w:rPr>
        <w:t>漏油着火</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14:textFill>
            <w14:solidFill>
              <w14:schemeClr w14:val="tx1"/>
            </w14:solidFill>
          </w14:textFill>
        </w:rPr>
        <w:t>或</w:t>
      </w:r>
      <w:r>
        <w:rPr>
          <w:rFonts w:hint="eastAsia" w:ascii="宋体" w:hAnsi="宋体" w:eastAsia="宋体" w:cs="宋体"/>
          <w:color w:val="000000" w:themeColor="text1"/>
          <w:sz w:val="28"/>
          <w:szCs w:val="28"/>
          <w:lang w:val="en-US" w:eastAsia="zh-CN"/>
          <w14:textFill>
            <w14:solidFill>
              <w14:schemeClr w14:val="tx1"/>
            </w14:solidFill>
          </w14:textFill>
        </w:rPr>
        <w:t>熔断器熔断掉落熔渣引起地面可燃物着火。</w:t>
      </w:r>
    </w:p>
    <w:p w14:paraId="39326785">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②生产区低压供电线路、电气设备等使用中因长时过负荷、电流增大，导致绝缘降低或损坏而着火。</w:t>
      </w:r>
    </w:p>
    <w:p w14:paraId="0AABEFDC">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560" w:firstLineChars="200"/>
        <w:textAlignment w:val="auto"/>
        <w:outlineLvl w:val="9"/>
        <w:rPr>
          <w:rFonts w:hint="eastAsia" w:ascii="宋体" w:hAnsi="宋体" w:eastAsia="宋体" w:cs="宋体"/>
          <w:snapToGrid w:val="0"/>
          <w:color w:val="000000" w:themeColor="text1"/>
          <w:kern w:val="0"/>
          <w:sz w:val="28"/>
          <w:szCs w:val="28"/>
          <w:lang w:val="en-US" w:eastAsia="zh-CN"/>
          <w14:textFill>
            <w14:solidFill>
              <w14:schemeClr w14:val="tx1"/>
            </w14:solidFill>
          </w14:textFill>
        </w:rPr>
      </w:pP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③生活办公区域电器使用不当、员工宿舍私拉乱接可能导致火灾。</w:t>
      </w:r>
    </w:p>
    <w:p w14:paraId="67BC3C56">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560" w:firstLineChars="200"/>
        <w:textAlignment w:val="auto"/>
        <w:outlineLvl w:val="9"/>
        <w:rPr>
          <w:rFonts w:hint="eastAsia" w:ascii="宋体" w:hAnsi="宋体" w:eastAsia="宋体" w:cs="宋体"/>
          <w:snapToGrid w:val="0"/>
          <w:color w:val="000000" w:themeColor="text1"/>
          <w:kern w:val="0"/>
          <w:sz w:val="28"/>
          <w:szCs w:val="28"/>
          <w14:textFill>
            <w14:solidFill>
              <w14:schemeClr w14:val="tx1"/>
            </w14:solidFill>
          </w14:textFill>
        </w:rPr>
      </w:pP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2</w:t>
      </w:r>
      <w:r>
        <w:rPr>
          <w:rFonts w:hint="eastAsia" w:ascii="宋体" w:hAnsi="宋体" w:eastAsia="宋体" w:cs="宋体"/>
          <w:snapToGrid w:val="0"/>
          <w:color w:val="000000" w:themeColor="text1"/>
          <w:kern w:val="0"/>
          <w:sz w:val="28"/>
          <w:szCs w:val="28"/>
          <w:lang w:eastAsia="zh-CN"/>
          <w14:textFill>
            <w14:solidFill>
              <w14:schemeClr w14:val="tx1"/>
            </w14:solidFill>
          </w14:textFill>
        </w:rPr>
        <w:t>）</w:t>
      </w:r>
      <w:r>
        <w:rPr>
          <w:rFonts w:hint="eastAsia" w:ascii="宋体" w:hAnsi="宋体" w:eastAsia="宋体" w:cs="宋体"/>
          <w:snapToGrid w:val="0"/>
          <w:color w:val="000000" w:themeColor="text1"/>
          <w:kern w:val="0"/>
          <w:sz w:val="28"/>
          <w:szCs w:val="28"/>
          <w14:textFill>
            <w14:solidFill>
              <w14:schemeClr w14:val="tx1"/>
            </w14:solidFill>
          </w14:textFill>
        </w:rPr>
        <w:t>雷击引起的火灾危险性分析</w:t>
      </w:r>
    </w:p>
    <w:p w14:paraId="5354E64D">
      <w:pPr>
        <w:pStyle w:val="7"/>
        <w:keepNext w:val="0"/>
        <w:keepLines w:val="0"/>
        <w:pageBreakBefore w:val="0"/>
        <w:widowControl w:val="0"/>
        <w:kinsoku/>
        <w:wordWrap/>
        <w:overflowPunct/>
        <w:topLinePunct w:val="0"/>
        <w:autoSpaceDE/>
        <w:autoSpaceDN/>
        <w:bidi w:val="0"/>
        <w:adjustRightInd/>
        <w:snapToGrid/>
        <w:spacing w:after="0" w:line="600" w:lineRule="exact"/>
        <w:ind w:left="0" w:leftChars="0" w:firstLine="560" w:firstLineChars="200"/>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生产</w:t>
      </w:r>
      <w:r>
        <w:rPr>
          <w:rFonts w:hint="eastAsia" w:ascii="宋体" w:hAnsi="宋体" w:eastAsia="宋体" w:cs="宋体"/>
          <w:color w:val="000000" w:themeColor="text1"/>
          <w:sz w:val="28"/>
          <w:szCs w:val="28"/>
          <w:lang w:val="en-US" w:eastAsia="zh-CN"/>
          <w14:textFill>
            <w14:solidFill>
              <w14:schemeClr w14:val="tx1"/>
            </w14:solidFill>
          </w14:textFill>
        </w:rPr>
        <w:t>车间、高</w:t>
      </w:r>
      <w:r>
        <w:rPr>
          <w:rFonts w:hint="eastAsia" w:ascii="宋体" w:hAnsi="宋体" w:eastAsia="宋体" w:cs="宋体"/>
          <w:color w:val="000000" w:themeColor="text1"/>
          <w:sz w:val="28"/>
          <w:szCs w:val="28"/>
          <w14:textFill>
            <w14:solidFill>
              <w14:schemeClr w14:val="tx1"/>
            </w14:solidFill>
          </w14:textFill>
        </w:rPr>
        <w:t>建筑物</w:t>
      </w:r>
      <w:r>
        <w:rPr>
          <w:rFonts w:hint="eastAsia" w:ascii="宋体" w:hAnsi="宋体" w:eastAsia="宋体" w:cs="宋体"/>
          <w:color w:val="000000" w:themeColor="text1"/>
          <w:sz w:val="28"/>
          <w:szCs w:val="28"/>
          <w:lang w:val="en-US" w:eastAsia="zh-CN"/>
          <w14:textFill>
            <w14:solidFill>
              <w14:schemeClr w14:val="tx1"/>
            </w14:solidFill>
          </w14:textFill>
        </w:rPr>
        <w:t>等</w:t>
      </w:r>
      <w:r>
        <w:rPr>
          <w:rFonts w:hint="eastAsia" w:ascii="宋体" w:hAnsi="宋体" w:eastAsia="宋体" w:cs="宋体"/>
          <w:color w:val="000000" w:themeColor="text1"/>
          <w:sz w:val="28"/>
          <w:szCs w:val="28"/>
          <w14:textFill>
            <w14:solidFill>
              <w14:schemeClr w14:val="tx1"/>
            </w14:solidFill>
          </w14:textFill>
        </w:rPr>
        <w:t>防雷</w:t>
      </w:r>
      <w:r>
        <w:rPr>
          <w:rFonts w:hint="eastAsia" w:ascii="宋体" w:hAnsi="宋体" w:eastAsia="宋体" w:cs="宋体"/>
          <w:color w:val="000000" w:themeColor="text1"/>
          <w:sz w:val="28"/>
          <w:szCs w:val="28"/>
          <w:lang w:val="en-US" w:eastAsia="zh-CN"/>
          <w14:textFill>
            <w14:solidFill>
              <w14:schemeClr w14:val="tx1"/>
            </w14:solidFill>
          </w14:textFill>
        </w:rPr>
        <w:t>接地系统不完善</w:t>
      </w:r>
      <w:r>
        <w:rPr>
          <w:rFonts w:hint="eastAsia" w:ascii="宋体" w:hAnsi="宋体" w:eastAsia="宋体" w:cs="宋体"/>
          <w:color w:val="000000" w:themeColor="text1"/>
          <w:sz w:val="28"/>
          <w:szCs w:val="28"/>
          <w14:textFill>
            <w14:solidFill>
              <w14:schemeClr w14:val="tx1"/>
            </w14:solidFill>
          </w14:textFill>
        </w:rPr>
        <w:t>或</w:t>
      </w:r>
      <w:r>
        <w:rPr>
          <w:rFonts w:hint="eastAsia" w:ascii="宋体" w:hAnsi="宋体" w:eastAsia="宋体" w:cs="宋体"/>
          <w:color w:val="000000" w:themeColor="text1"/>
          <w:sz w:val="28"/>
          <w:szCs w:val="28"/>
          <w:lang w:val="en-US" w:eastAsia="zh-CN"/>
          <w14:textFill>
            <w14:solidFill>
              <w14:schemeClr w14:val="tx1"/>
            </w14:solidFill>
          </w14:textFill>
        </w:rPr>
        <w:t>接地线断裂</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接地电阻增大，</w:t>
      </w:r>
      <w:r>
        <w:rPr>
          <w:rFonts w:hint="eastAsia" w:ascii="宋体" w:hAnsi="宋体" w:eastAsia="宋体" w:cs="宋体"/>
          <w:color w:val="000000" w:themeColor="text1"/>
          <w:sz w:val="28"/>
          <w:szCs w:val="28"/>
          <w14:textFill>
            <w14:solidFill>
              <w14:schemeClr w14:val="tx1"/>
            </w14:solidFill>
          </w14:textFill>
        </w:rPr>
        <w:t>雷雨天遭雷击</w:t>
      </w:r>
      <w:r>
        <w:rPr>
          <w:rFonts w:hint="eastAsia" w:ascii="宋体" w:hAnsi="宋体" w:eastAsia="宋体" w:cs="宋体"/>
          <w:color w:val="000000" w:themeColor="text1"/>
          <w:sz w:val="28"/>
          <w:szCs w:val="28"/>
          <w:lang w:val="en-US" w:eastAsia="zh-CN"/>
          <w14:textFill>
            <w14:solidFill>
              <w14:schemeClr w14:val="tx1"/>
            </w14:solidFill>
          </w14:textFill>
        </w:rPr>
        <w:t>放电时会</w:t>
      </w:r>
      <w:r>
        <w:rPr>
          <w:rFonts w:hint="eastAsia" w:ascii="宋体" w:hAnsi="宋体" w:eastAsia="宋体" w:cs="宋体"/>
          <w:color w:val="000000" w:themeColor="text1"/>
          <w:sz w:val="28"/>
          <w:szCs w:val="28"/>
          <w14:textFill>
            <w14:solidFill>
              <w14:schemeClr w14:val="tx1"/>
            </w14:solidFill>
          </w14:textFill>
        </w:rPr>
        <w:t>起</w:t>
      </w:r>
      <w:r>
        <w:rPr>
          <w:rFonts w:hint="eastAsia" w:ascii="宋体" w:hAnsi="宋体" w:eastAsia="宋体" w:cs="宋体"/>
          <w:color w:val="000000" w:themeColor="text1"/>
          <w:sz w:val="28"/>
          <w:szCs w:val="28"/>
          <w:lang w:val="en-US" w:eastAsia="zh-CN"/>
          <w14:textFill>
            <w14:solidFill>
              <w14:schemeClr w14:val="tx1"/>
            </w14:solidFill>
          </w14:textFill>
        </w:rPr>
        <w:t>电火花</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引其可燃物燃烧</w:t>
      </w:r>
      <w:r>
        <w:rPr>
          <w:rFonts w:hint="eastAsia" w:ascii="宋体" w:hAnsi="宋体" w:eastAsia="宋体" w:cs="宋体"/>
          <w:color w:val="000000" w:themeColor="text1"/>
          <w:sz w:val="28"/>
          <w:szCs w:val="28"/>
          <w14:textFill>
            <w14:solidFill>
              <w14:schemeClr w14:val="tx1"/>
            </w14:solidFill>
          </w14:textFill>
        </w:rPr>
        <w:t>。</w:t>
      </w:r>
    </w:p>
    <w:p w14:paraId="31B11B87">
      <w:pPr>
        <w:keepNext w:val="0"/>
        <w:keepLines w:val="0"/>
        <w:pageBreakBefore w:val="0"/>
        <w:widowControl/>
        <w:suppressLineNumbers w:val="0"/>
        <w:kinsoku/>
        <w:wordWrap/>
        <w:overflowPunct/>
        <w:topLinePunct w:val="0"/>
        <w:autoSpaceDE/>
        <w:autoSpaceDN/>
        <w:bidi w:val="0"/>
        <w:adjustRightInd/>
        <w:snapToGrid/>
        <w:spacing w:line="600" w:lineRule="exact"/>
        <w:ind w:left="0" w:leftChars="0" w:firstLine="560" w:firstLineChars="200"/>
        <w:jc w:val="left"/>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（3）检维修作业前未按有关规定办理动火作业票，无安全措施进行</w:t>
      </w:r>
      <w:r>
        <w:rPr>
          <w:rFonts w:hint="eastAsia" w:ascii="宋体" w:hAnsi="宋体" w:eastAsia="宋体" w:cs="宋体"/>
          <w:color w:val="000000" w:themeColor="text1"/>
          <w:kern w:val="0"/>
          <w:sz w:val="28"/>
          <w:szCs w:val="28"/>
          <w14:textFill>
            <w14:solidFill>
              <w14:schemeClr w14:val="tx1"/>
            </w14:solidFill>
          </w14:textFill>
        </w:rPr>
        <w:t>焊接</w:t>
      </w:r>
      <w:r>
        <w:rPr>
          <w:rFonts w:hint="eastAsia" w:ascii="宋体" w:hAnsi="宋体" w:eastAsia="宋体" w:cs="宋体"/>
          <w:color w:val="000000" w:themeColor="text1"/>
          <w:kern w:val="0"/>
          <w:sz w:val="28"/>
          <w:szCs w:val="28"/>
          <w:lang w:val="en-US" w:eastAsia="zh-CN"/>
          <w14:textFill>
            <w14:solidFill>
              <w14:schemeClr w14:val="tx1"/>
            </w14:solidFill>
          </w14:textFill>
        </w:rPr>
        <w:t>和气割作业，</w:t>
      </w:r>
      <w:r>
        <w:rPr>
          <w:rFonts w:hint="eastAsia" w:ascii="宋体" w:hAnsi="宋体" w:eastAsia="宋体" w:cs="宋体"/>
          <w:snapToGrid w:val="0"/>
          <w:color w:val="000000" w:themeColor="text1"/>
          <w:kern w:val="0"/>
          <w:sz w:val="28"/>
          <w:szCs w:val="28"/>
          <w:lang w:val="en-US" w:eastAsia="zh-CN"/>
          <w14:textFill>
            <w14:solidFill>
              <w14:schemeClr w14:val="tx1"/>
            </w14:solidFill>
          </w14:textFill>
        </w:rPr>
        <w:t>未清理作业现场可燃物隐患，导致火灾事故。</w:t>
      </w:r>
    </w:p>
    <w:p w14:paraId="07422A0B">
      <w:pPr>
        <w:keepNext w:val="0"/>
        <w:keepLines w:val="0"/>
        <w:pageBreakBefore w:val="0"/>
        <w:widowControl/>
        <w:suppressLineNumbers w:val="0"/>
        <w:kinsoku/>
        <w:wordWrap/>
        <w:overflowPunct/>
        <w:topLinePunct w:val="0"/>
        <w:autoSpaceDE/>
        <w:autoSpaceDN/>
        <w:bidi w:val="0"/>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40" w:name="_Toc4395"/>
      <w:bookmarkStart w:id="141" w:name="_Toc1696"/>
      <w:r>
        <w:rPr>
          <w:rFonts w:hint="eastAsia" w:ascii="宋体" w:hAnsi="宋体" w:eastAsia="宋体" w:cs="宋体"/>
          <w:b/>
          <w:bCs/>
          <w:color w:val="000000"/>
          <w:kern w:val="0"/>
          <w:sz w:val="28"/>
          <w:szCs w:val="28"/>
          <w:lang w:val="en-US" w:eastAsia="zh-CN" w:bidi="ar"/>
        </w:rPr>
        <w:t>3.3.7高处坠落</w:t>
      </w:r>
      <w:bookmarkEnd w:id="140"/>
      <w:bookmarkEnd w:id="141"/>
    </w:p>
    <w:p w14:paraId="2D3D46B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sz w:val="28"/>
          <w:szCs w:val="24"/>
        </w:rPr>
        <w:t>登高作业人员违反操作规程、不戴安全带，</w:t>
      </w:r>
      <w:r>
        <w:rPr>
          <w:rFonts w:hint="eastAsia" w:ascii="宋体" w:hAnsi="宋体" w:eastAsia="宋体" w:cs="宋体"/>
          <w:color w:val="000000" w:themeColor="text1"/>
          <w:sz w:val="28"/>
          <w:szCs w:val="28"/>
          <w:lang w:val="en-US" w:eastAsia="zh-CN"/>
          <w14:textFill>
            <w14:solidFill>
              <w14:schemeClr w14:val="tx1"/>
            </w14:solidFill>
          </w14:textFill>
        </w:rPr>
        <w:t>如果在巡检过程及设备检修过程中作业不慎或者缺少安全防护，则有可能造成高处坠落伤害。可能造成高处坠落事故的主要原因如下：</w:t>
      </w:r>
    </w:p>
    <w:p w14:paraId="6A44051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①自然光线不足，能见度差；</w:t>
      </w:r>
    </w:p>
    <w:p w14:paraId="74825CDC">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②接近或接触危险电压带电体；</w:t>
      </w:r>
    </w:p>
    <w:p w14:paraId="304E27B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③高处作业立足处不是平面或只有很小的平面，致使作业者无法维持正常姿势；</w:t>
      </w:r>
    </w:p>
    <w:p w14:paraId="39F9C74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④高处作业平台无安全防护栏、坑（沟）无盖板等设施或设施损坏失效；</w:t>
      </w:r>
    </w:p>
    <w:p w14:paraId="53126DC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⑤高处作业时没有按要求佩戴安全带（绳）、安全帽或采取其他有效的安全保护措施；</w:t>
      </w:r>
    </w:p>
    <w:p w14:paraId="7D792F0E">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⑥违章作业；</w:t>
      </w:r>
    </w:p>
    <w:p w14:paraId="2C962BB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⑦疏忽大意，疲劳过度或酒后作业；</w:t>
      </w:r>
    </w:p>
    <w:p w14:paraId="1CF7B68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bCs/>
          <w:color w:val="000000" w:themeColor="text1"/>
          <w:kern w:val="2"/>
          <w:sz w:val="28"/>
          <w:szCs w:val="28"/>
          <w:lang w:val="en-US" w:eastAsia="zh-CN" w:bidi="ar-SA"/>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⑧高处作业安全管理不到位。</w:t>
      </w:r>
    </w:p>
    <w:p w14:paraId="5327321D">
      <w:pPr>
        <w:keepNext w:val="0"/>
        <w:keepLines w:val="0"/>
        <w:pageBreakBefore w:val="0"/>
        <w:widowControl/>
        <w:suppressLineNumbers w:val="0"/>
        <w:kinsoku/>
        <w:wordWrap/>
        <w:overflowPunct/>
        <w:topLinePunct w:val="0"/>
        <w:autoSpaceDE/>
        <w:autoSpaceDN/>
        <w:bidi w:val="0"/>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42" w:name="_Toc14921"/>
      <w:bookmarkStart w:id="143" w:name="_Toc22691"/>
      <w:r>
        <w:rPr>
          <w:rFonts w:hint="eastAsia" w:ascii="宋体" w:hAnsi="宋体" w:eastAsia="宋体" w:cs="宋体"/>
          <w:b/>
          <w:bCs/>
          <w:color w:val="000000"/>
          <w:kern w:val="0"/>
          <w:sz w:val="28"/>
          <w:szCs w:val="28"/>
          <w:lang w:val="en-US" w:eastAsia="zh-CN" w:bidi="ar"/>
        </w:rPr>
        <w:t>3.3.8坍塌</w:t>
      </w:r>
      <w:bookmarkEnd w:id="142"/>
      <w:bookmarkEnd w:id="143"/>
    </w:p>
    <w:p w14:paraId="345C248E">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（1）建（构）筑物因工程施工砌体质量不良（强度、硬度及剪切应力等因素）、维护保养不善等因素造成坍塌事故，如：</w:t>
      </w:r>
    </w:p>
    <w:p w14:paraId="56798C28">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①厂区内的建构筑物因碰撞、年久失修等原因坍塌，造成设备设施损失及人员伤亡。</w:t>
      </w:r>
    </w:p>
    <w:p w14:paraId="0E412FB6">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②厂房内平台、斜梯、支架等设施因过载、腐蚀、缺少维护等原因坍塌，造成财产损失及人员伤亡。</w:t>
      </w:r>
    </w:p>
    <w:p w14:paraId="0E72ED7E">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color w:val="000000"/>
          <w:sz w:val="28"/>
          <w:szCs w:val="28"/>
        </w:rPr>
      </w:pPr>
      <w:r>
        <w:rPr>
          <w:rFonts w:hint="eastAsia" w:ascii="宋体" w:hAnsi="宋体" w:eastAsia="宋体" w:cs="宋体"/>
          <w:color w:val="000000"/>
          <w:sz w:val="28"/>
          <w:szCs w:val="28"/>
        </w:rPr>
        <w:t>（2）车间进出大门、支柱等被运输车辆撞击，发生支柱倾斜、垮塌，甚至厂房屋顶坍塌等，造成人员伤亡。</w:t>
      </w:r>
    </w:p>
    <w:p w14:paraId="254CBFD2">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宋体" w:hAnsi="宋体" w:eastAsia="宋体" w:cs="宋体"/>
          <w:i w:val="0"/>
          <w:iCs w:val="0"/>
          <w:caps w:val="0"/>
          <w:color w:val="333333"/>
          <w:spacing w:val="0"/>
          <w:sz w:val="28"/>
          <w:szCs w:val="28"/>
          <w:shd w:val="clear" w:fill="FFFFFF"/>
          <w:lang w:val="en-US"/>
        </w:rPr>
      </w:pPr>
      <w:r>
        <w:rPr>
          <w:rFonts w:hint="eastAsia" w:ascii="宋体" w:hAnsi="宋体" w:eastAsia="宋体" w:cs="宋体"/>
          <w:b/>
          <w:bCs/>
          <w:color w:val="000000"/>
          <w:kern w:val="0"/>
          <w:sz w:val="28"/>
          <w:szCs w:val="28"/>
          <w:lang w:val="en-US" w:eastAsia="zh-CN" w:bidi="ar"/>
        </w:rPr>
        <w:t>3.3.</w:t>
      </w:r>
      <w:r>
        <w:rPr>
          <w:rFonts w:hint="eastAsia" w:hAnsi="宋体" w:cs="宋体"/>
          <w:b/>
          <w:bCs/>
          <w:color w:val="000000"/>
          <w:kern w:val="0"/>
          <w:sz w:val="28"/>
          <w:szCs w:val="28"/>
          <w:lang w:val="en-US" w:eastAsia="zh-CN" w:bidi="ar"/>
        </w:rPr>
        <w:t>9容器爆炸</w:t>
      </w:r>
    </w:p>
    <w:p w14:paraId="044D3C7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pPr>
      <w:r>
        <w:rPr>
          <w:rFonts w:hint="eastAsia" w:ascii="宋体" w:hAnsi="宋体" w:cs="宋体"/>
          <w:b w:val="0"/>
          <w:bCs w:val="0"/>
          <w:color w:val="000000" w:themeColor="text1"/>
          <w:kern w:val="2"/>
          <w:sz w:val="28"/>
          <w:szCs w:val="28"/>
          <w:lang w:val="en-US" w:eastAsia="zh-CN" w:bidi="ar-SA"/>
          <w14:textFill>
            <w14:solidFill>
              <w14:schemeClr w14:val="tx1"/>
            </w14:solidFill>
          </w14:textFill>
        </w:rPr>
        <w:t>公司有一台压缩空气储罐，属于简单压力容器，</w:t>
      </w:r>
      <w:r>
        <w:rPr>
          <w:rFonts w:hint="eastAsia" w:ascii="宋体" w:hAnsi="宋体" w:eastAsia="宋体" w:cs="宋体"/>
          <w:b w:val="0"/>
          <w:bCs w:val="0"/>
          <w:color w:val="000000" w:themeColor="text1"/>
          <w:kern w:val="2"/>
          <w:sz w:val="28"/>
          <w:szCs w:val="28"/>
          <w:lang w:val="en-US" w:eastAsia="zh-CN" w:bidi="ar-SA"/>
          <w14:textFill>
            <w14:solidFill>
              <w14:schemeClr w14:val="tx1"/>
            </w14:solidFill>
          </w14:textFill>
        </w:rPr>
        <w:t>引发储气罐发生容器爆炸的原因如下：</w:t>
      </w:r>
    </w:p>
    <w:p w14:paraId="3E7CC99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sz w:val="28"/>
          <w:szCs w:val="28"/>
        </w:rPr>
      </w:pPr>
      <w:r>
        <w:rPr>
          <w:rFonts w:hint="eastAsia" w:ascii="宋体" w:hAnsi="宋体" w:eastAsia="宋体" w:cs="宋体"/>
          <w:kern w:val="2"/>
          <w:sz w:val="28"/>
          <w:szCs w:val="28"/>
          <w:lang w:val="en-US" w:eastAsia="zh-CN" w:bidi="ar-SA"/>
        </w:rPr>
        <w:t>①</w:t>
      </w:r>
      <w:r>
        <w:rPr>
          <w:rFonts w:hint="eastAsia" w:ascii="宋体" w:hAnsi="宋体" w:eastAsia="宋体" w:cs="宋体"/>
          <w:sz w:val="28"/>
          <w:szCs w:val="28"/>
        </w:rPr>
        <w:t>储气罐内气体的额定压力通常由压力调节器和安全阀来确定和控制。当这些关键部件出现故障时，如压力调节器操作失误、卸荷阀管道等零部件出现故障，或者安全阀不能正常动作、压力表指示不准确等，都可能导致罐内气体压力急剧上升。此外，储气罐受热（如日光暴晒、火灾等）也会引起容器内压升高。若罐内压力超过罐体壁厚的强度极限，就会发生爆炸。</w:t>
      </w:r>
    </w:p>
    <w:p w14:paraId="1BD1A1A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kern w:val="2"/>
          <w:sz w:val="28"/>
          <w:szCs w:val="28"/>
          <w:lang w:val="en-US" w:eastAsia="zh-CN" w:bidi="ar-SA"/>
        </w:rPr>
        <w:t>②</w:t>
      </w:r>
      <w:r>
        <w:rPr>
          <w:rFonts w:hint="eastAsia" w:ascii="宋体" w:hAnsi="宋体" w:eastAsia="宋体" w:cs="宋体"/>
          <w:sz w:val="28"/>
          <w:szCs w:val="28"/>
        </w:rPr>
        <w:t>如果储气罐的设计结构不合理、制造质量差，或者存在壁厚不均匀、气孔、裂纹、严重锈蚀等缺陷，即使在额定压力下工作，也可能因局部强度不够而发生爆炸。</w:t>
      </w:r>
    </w:p>
    <w:p w14:paraId="5D99AC2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firstLine="560" w:firstLineChars="200"/>
        <w:textAlignment w:val="auto"/>
        <w:rPr>
          <w:rFonts w:hint="eastAsia" w:ascii="宋体" w:hAnsi="宋体" w:eastAsia="宋体" w:cs="宋体"/>
          <w:b/>
          <w:bCs/>
          <w:sz w:val="28"/>
          <w:szCs w:val="28"/>
          <w:lang w:val="en-US" w:eastAsia="zh-CN"/>
        </w:rPr>
      </w:pPr>
      <w:r>
        <w:rPr>
          <w:rFonts w:hint="eastAsia" w:ascii="宋体" w:hAnsi="宋体" w:eastAsia="宋体" w:cs="宋体"/>
          <w:kern w:val="2"/>
          <w:sz w:val="28"/>
          <w:szCs w:val="28"/>
          <w:lang w:val="en-US" w:eastAsia="zh-CN" w:bidi="ar-SA"/>
        </w:rPr>
        <w:t>③</w:t>
      </w:r>
      <w:r>
        <w:rPr>
          <w:rFonts w:hint="eastAsia" w:ascii="宋体" w:hAnsi="宋体" w:eastAsia="宋体" w:cs="宋体"/>
          <w:sz w:val="28"/>
          <w:szCs w:val="28"/>
        </w:rPr>
        <w:t>操作失误和违章作业也是导致储气罐爆炸的常见原因之一。例如，操作人员没有按照规程进行操作、维护不当，或者在异常情况下未能及时采取措施，都可能引发事故。因此，加强操作人员的培训和管理，确保其持证上岗，严格遵守操作规程，是保障储气罐安全运行的重要环节。</w:t>
      </w:r>
    </w:p>
    <w:p w14:paraId="4D3DDD4F">
      <w:pPr>
        <w:pStyle w:val="4"/>
        <w:keepNext/>
        <w:keepLines/>
        <w:pageBreakBefore w:val="0"/>
        <w:widowControl w:val="0"/>
        <w:kinsoku/>
        <w:wordWrap/>
        <w:overflowPunct/>
        <w:topLinePunct w:val="0"/>
        <w:autoSpaceDE/>
        <w:autoSpaceDN/>
        <w:bidi w:val="0"/>
        <w:adjustRightInd/>
        <w:snapToGrid w:val="0"/>
        <w:spacing w:before="0" w:after="0" w:line="600" w:lineRule="exact"/>
        <w:ind w:left="0" w:leftChars="0" w:firstLine="0" w:firstLineChars="0"/>
        <w:textAlignment w:val="auto"/>
        <w:outlineLvl w:val="1"/>
        <w:rPr>
          <w:rFonts w:hint="eastAsia" w:ascii="宋体" w:hAnsi="宋体" w:eastAsia="宋体" w:cs="宋体"/>
          <w:b/>
          <w:bCs/>
          <w:snapToGrid w:val="0"/>
          <w:color w:val="auto"/>
          <w:kern w:val="0"/>
          <w:sz w:val="30"/>
          <w:szCs w:val="30"/>
        </w:rPr>
      </w:pPr>
      <w:bookmarkStart w:id="144" w:name="_Toc0"/>
      <w:bookmarkStart w:id="145" w:name="_Toc14325"/>
      <w:r>
        <w:rPr>
          <w:rFonts w:hint="eastAsia" w:ascii="宋体" w:hAnsi="宋体" w:eastAsia="宋体" w:cs="宋体"/>
          <w:b/>
          <w:bCs/>
          <w:sz w:val="30"/>
          <w:szCs w:val="30"/>
          <w:lang w:val="en-US" w:eastAsia="zh-CN"/>
        </w:rPr>
        <w:t>3.4</w:t>
      </w:r>
      <w:r>
        <w:rPr>
          <w:rFonts w:hint="eastAsia" w:ascii="宋体" w:hAnsi="宋体" w:eastAsia="宋体" w:cs="宋体"/>
          <w:b/>
          <w:bCs/>
          <w:snapToGrid w:val="0"/>
          <w:color w:val="auto"/>
          <w:kern w:val="0"/>
          <w:sz w:val="30"/>
          <w:szCs w:val="30"/>
        </w:rPr>
        <w:t>公辅设施的危险有害因素辨识</w:t>
      </w:r>
      <w:bookmarkEnd w:id="144"/>
      <w:bookmarkEnd w:id="145"/>
    </w:p>
    <w:p w14:paraId="7670E83F">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zh-CN"/>
        </w:rPr>
        <w:t>公用工程及辅助设施包括供配电系统、给排水处理系统</w:t>
      </w:r>
      <w:r>
        <w:rPr>
          <w:rFonts w:hint="eastAsia" w:ascii="宋体" w:hAnsi="宋体" w:eastAsia="宋体" w:cs="宋体"/>
          <w:color w:val="auto"/>
          <w:sz w:val="28"/>
          <w:szCs w:val="28"/>
          <w:lang w:val="en-US" w:eastAsia="zh-CN"/>
        </w:rPr>
        <w:t>等。</w:t>
      </w:r>
    </w:p>
    <w:p w14:paraId="7F2FD71B">
      <w:pPr>
        <w:keepNext w:val="0"/>
        <w:keepLines w:val="0"/>
        <w:pageBreakBefore w:val="0"/>
        <w:widowControl w:val="0"/>
        <w:kinsoku/>
        <w:wordWrap/>
        <w:overflowPunct/>
        <w:topLinePunct w:val="0"/>
        <w:autoSpaceDE w:val="0"/>
        <w:autoSpaceDN w:val="0"/>
        <w:bidi w:val="0"/>
        <w:adjustRightInd w:val="0"/>
        <w:snapToGrid w:val="0"/>
        <w:spacing w:line="600" w:lineRule="exact"/>
        <w:ind w:firstLine="562" w:firstLineChars="200"/>
        <w:textAlignment w:val="auto"/>
        <w:outlineLvl w:val="9"/>
        <w:rPr>
          <w:rFonts w:hint="eastAsia" w:ascii="宋体" w:hAnsi="宋体" w:eastAsia="宋体" w:cs="宋体"/>
          <w:b/>
          <w:bCs/>
          <w:color w:val="auto"/>
          <w:sz w:val="28"/>
          <w:szCs w:val="28"/>
          <w:lang w:val="zh-CN"/>
        </w:rPr>
      </w:pPr>
      <w:r>
        <w:rPr>
          <w:rFonts w:hint="eastAsia" w:ascii="宋体" w:hAnsi="宋体" w:eastAsia="宋体" w:cs="宋体"/>
          <w:b/>
          <w:bCs/>
          <w:color w:val="auto"/>
          <w:sz w:val="28"/>
          <w:szCs w:val="28"/>
        </w:rPr>
        <w:t>1</w:t>
      </w:r>
      <w:r>
        <w:rPr>
          <w:rFonts w:hint="eastAsia" w:ascii="宋体" w:hAnsi="宋体" w:eastAsia="宋体" w:cs="宋体"/>
          <w:b/>
          <w:bCs/>
          <w:color w:val="auto"/>
          <w:sz w:val="28"/>
          <w:szCs w:val="28"/>
          <w:lang w:val="zh-CN"/>
        </w:rPr>
        <w:t>．供配电系统危险、有害因素</w:t>
      </w:r>
    </w:p>
    <w:p w14:paraId="5E256A31">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供配电系统主要危险、有害因素有以下4类：</w:t>
      </w:r>
    </w:p>
    <w:p w14:paraId="0A76CEE3">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1）火灾爆炸</w:t>
      </w:r>
    </w:p>
    <w:p w14:paraId="3D0CFAF9">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（1）变压器着火</w:t>
      </w:r>
    </w:p>
    <w:p w14:paraId="4857F048">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变压器功率较大，变压器内部的绝缘衬垫和支架大多采用纸板、棉纱、布、木材等有机可燃物质，因此，一旦变压器内部发生过载或短路，可燃的材料就会因高温或电火花、电弧作用而分解、膨胀以致气化，使变压器内部压力剧增，可引起变压器外壳爆炸，可能造成火灾危险。</w:t>
      </w:r>
    </w:p>
    <w:p w14:paraId="46678874">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（2）电气火灾</w:t>
      </w:r>
    </w:p>
    <w:p w14:paraId="676A1C89">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引起电气火灾的主要原因是由于电气线路的短路、过载或接触电阻过大等原因，产生电火花、电弧或引起电线、电缆过热，从而造成火灾。</w:t>
      </w:r>
    </w:p>
    <w:p w14:paraId="03D4BB32">
      <w:pPr>
        <w:keepNext w:val="0"/>
        <w:keepLines w:val="0"/>
        <w:pageBreakBefore w:val="0"/>
        <w:widowControl w:val="0"/>
        <w:kinsoku/>
        <w:wordWrap/>
        <w:overflowPunct/>
        <w:topLinePunct w:val="0"/>
        <w:bidi w:val="0"/>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2）触电事故</w:t>
      </w:r>
    </w:p>
    <w:p w14:paraId="15FE9C5C">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当电线自身故障，电线外表绝缘材料腐蚀而提前老化，极易引起电线绝缘性能下降漏电;或电气线路、电气设备安装不当、保养不良及接地、接零损坏或失效等，将会引起电气设备保护失效，引起触电事故。如果电气设备接地失效、线路短路、未按规定设置漏电保护器、设备检修、倒闸操作、使用手持工具作业、携带大件导电物体在导电体旁行走、乱动不明电气设备、非电工维修电气设备等，都存在发生触电事故可能。引起触电事故的主要原因除了电气设备缺陷、设计不周等技术因素外，常见的原因有：</w:t>
      </w:r>
    </w:p>
    <w:p w14:paraId="226DE3D3">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（1）违反操作规程</w:t>
      </w:r>
    </w:p>
    <w:p w14:paraId="30545D2D">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如带电拉高压隔离开关；用手触摸破坏的胶盖闸刀；带电接临时照明线及临时电源；火线误接在电动工具外壳上；违规带电作业等。</w:t>
      </w:r>
    </w:p>
    <w:p w14:paraId="4A4B0B95">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（2）电气设备不合格</w:t>
      </w:r>
    </w:p>
    <w:p w14:paraId="53FD0091">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如闸刀开关或磁力启动器缺少护壳而触电；电气设备漏电；电路热元件没有隐蔽；电气设备外壳没有接地而带电；配电盘设计和制造上的缺陷，使配电盘前后带电部分宜于触及人体；电线或电缆因绝缘磨损或腐蚀而损坏等。</w:t>
      </w:r>
    </w:p>
    <w:p w14:paraId="7A364939">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（3）维修不善</w:t>
      </w:r>
    </w:p>
    <w:p w14:paraId="7A8853FA">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如胶盖开关破损长期不修；瓷瓶破裂后火线与拉线长期相碰等。</w:t>
      </w:r>
    </w:p>
    <w:p w14:paraId="0D6354DD">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（4）电气设备设施检修过程中未按规定使用安全防护用具，如绝缘手套、绝缘鞋、绝缘钳以及必要的仪表等，也可能导致触电事故。</w:t>
      </w:r>
    </w:p>
    <w:p w14:paraId="3F64FD62">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（5）作业过程中，未制定工作票制度，工作中没有监护或监护失误。不严格遵守作业规程进行带电作业，存在触电危险。</w:t>
      </w:r>
    </w:p>
    <w:p w14:paraId="64A04AA6">
      <w:pPr>
        <w:keepNext w:val="0"/>
        <w:keepLines w:val="0"/>
        <w:pageBreakBefore w:val="0"/>
        <w:widowControl w:val="0"/>
        <w:kinsoku/>
        <w:wordWrap/>
        <w:overflowPunct/>
        <w:topLinePunct w:val="0"/>
        <w:bidi w:val="0"/>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3）雷击危害</w:t>
      </w:r>
    </w:p>
    <w:p w14:paraId="418CCAC7">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雷电危害主要表现在以下三方面：</w:t>
      </w:r>
    </w:p>
    <w:p w14:paraId="63F88503">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电性质的破坏作用。雷电产生的数十万伏乃至数百万伏冲击电压(或外部电压)，可能毁坏电动机、电力变压器、断路器、绝缘子、仪表等电气设备的绝缘，造成大规模停电；绝缘损坏可能引起短路，导致火灾或爆炸事故；二次放电(反击)的火花也可能引起火灾或爆炸；绝缘的损坏可能导致高压窜入低压，并由此造成严重的触电事故；雷云直接对人体放电都可能使人致命；巨大的雷电流流入地下，会在雷击点及其连接的金属部分产生极高的对地电压，可能直接导致接触电压或跨步电压的触电事故等。</w:t>
      </w:r>
    </w:p>
    <w:p w14:paraId="1A9FB3DC">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2）热性质的破坏作用。热性质的破坏作用表现为巨大的雷电流通过导体，在极短的时间内转换出大量的热能，造成易燃品的燃烧或造成金属熔化飞溅而引起火灾或爆炸。如果雷击在易燃物上，更容易引起火灾。输电线、接地线及其他导体可能因发热而烧断，造成停电及其他故障。</w:t>
      </w:r>
    </w:p>
    <w:p w14:paraId="517F5190">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3）机械性质的破坏作用。当巨大的雷电流通过被击物时，被击物缝隙中的气体急剧膨胀，水分剧烈蒸发成为大量气体，从而导致被击物爆炸。此外，雷击时所产生的静电斥力、电磁推力以及雷击时的气浪都有一定的破坏作用。</w:t>
      </w:r>
    </w:p>
    <w:p w14:paraId="0C385BE3">
      <w:pPr>
        <w:keepNext w:val="0"/>
        <w:keepLines w:val="0"/>
        <w:pageBreakBefore w:val="0"/>
        <w:widowControl w:val="0"/>
        <w:kinsoku/>
        <w:wordWrap/>
        <w:overflowPunct/>
        <w:topLinePunct w:val="0"/>
        <w:bidi w:val="0"/>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）电路故障</w:t>
      </w:r>
    </w:p>
    <w:p w14:paraId="3C11FA40">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电路故障危害是由于电能在输送、分配、转换过程中，失去控制而产生的。断线、短路、异常接地、漏电、误合闸、误掉闸、电气设备或电气元件损坏、电子设备受电磁干扰而发生误动作等都属于电路故障。系统中电气线路或电气设备的故障则能引起火灾爆炸、异常带电或停电，而导致人员伤亡及重大财产损失。</w:t>
      </w:r>
    </w:p>
    <w:p w14:paraId="77448248">
      <w:pPr>
        <w:keepNext w:val="0"/>
        <w:keepLines w:val="0"/>
        <w:pageBreakBefore w:val="0"/>
        <w:widowControl w:val="0"/>
        <w:kinsoku/>
        <w:wordWrap/>
        <w:overflowPunct/>
        <w:topLinePunct w:val="0"/>
        <w:bidi w:val="0"/>
        <w:snapToGrid w:val="0"/>
        <w:spacing w:line="600" w:lineRule="exact"/>
        <w:ind w:firstLine="562" w:firstLineChars="200"/>
        <w:textAlignment w:val="auto"/>
        <w:outlineLvl w:val="9"/>
        <w:rPr>
          <w:rFonts w:hint="eastAsia" w:ascii="宋体" w:hAnsi="宋体" w:eastAsia="宋体" w:cs="宋体"/>
          <w:b/>
          <w:color w:val="auto"/>
          <w:sz w:val="28"/>
          <w:szCs w:val="28"/>
        </w:rPr>
      </w:pPr>
      <w:r>
        <w:rPr>
          <w:rFonts w:hint="eastAsia" w:ascii="宋体" w:hAnsi="宋体" w:eastAsia="宋体" w:cs="宋体"/>
          <w:b/>
          <w:color w:val="auto"/>
          <w:sz w:val="28"/>
          <w:szCs w:val="28"/>
        </w:rPr>
        <w:t>2.给排水系统危险、有害因素</w:t>
      </w:r>
    </w:p>
    <w:p w14:paraId="7D9B8708">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给排水</w:t>
      </w:r>
      <w:r>
        <w:rPr>
          <w:rFonts w:hint="eastAsia" w:ascii="宋体" w:hAnsi="宋体" w:eastAsia="宋体" w:cs="宋体"/>
          <w:color w:val="auto"/>
          <w:sz w:val="28"/>
          <w:szCs w:val="28"/>
        </w:rPr>
        <w:t>系统</w:t>
      </w:r>
      <w:r>
        <w:rPr>
          <w:rFonts w:hint="eastAsia" w:ascii="宋体" w:hAnsi="宋体" w:eastAsia="宋体" w:cs="宋体"/>
          <w:color w:val="auto"/>
          <w:sz w:val="28"/>
          <w:szCs w:val="28"/>
          <w:lang w:val="zh-CN"/>
        </w:rPr>
        <w:t>承担企业生产用水、冷却用水、消防用水等功能，其事故的发生对整个企业的影响不可忽视，尤其是突发的给排水事故有时会对生产带来严重的后果，或导致灾难性后果。企业给排水处理工程主要危险有害有以下4类：</w:t>
      </w:r>
    </w:p>
    <w:p w14:paraId="407837C9">
      <w:pPr>
        <w:keepNext w:val="0"/>
        <w:keepLines w:val="0"/>
        <w:pageBreakBefore w:val="0"/>
        <w:widowControl w:val="0"/>
        <w:kinsoku/>
        <w:wordWrap/>
        <w:overflowPunct/>
        <w:topLinePunct w:val="0"/>
        <w:bidi w:val="0"/>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1）供水质量事故</w:t>
      </w:r>
    </w:p>
    <w:p w14:paraId="0B6BA629">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供水质量直接影响产品质量及生产系统安全，供水质量事故主要有：供水质量不合格、供水压力较小以及断水事故等。供水质量事故对产品质量及生产系统安全的影响主要表现在：</w:t>
      </w:r>
    </w:p>
    <w:p w14:paraId="4BCF6DB1">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1）企业一次给水系统供全厂生产、生活和厂区消防用一次水，如果在生产过程中出现供水质量事故，不能及时补充生产用循环水，会导致整个生产系统瘫痪、停产，造成较大损失；如果在出现紧急事故需用水处理时而出现供水压力较小以及断水事故等时，会导致事故的扩大；如果在消防用水时出现供水压力较小以及断水事故等，会导致事故的无法控制。</w:t>
      </w:r>
    </w:p>
    <w:p w14:paraId="44AA3F3B">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2）机械伤害</w:t>
      </w:r>
    </w:p>
    <w:p w14:paraId="0F31A965">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给排水处理工程中使用的机械设备主要为水输送泵，其转运部件由于防护罩缺失或装置不合要求时，人员触及运动部件时有发生易发生机械缠绕等伤害的可能。</w:t>
      </w:r>
    </w:p>
    <w:p w14:paraId="315793F8">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3）触电</w:t>
      </w:r>
    </w:p>
    <w:p w14:paraId="357FD0D1">
      <w:pPr>
        <w:keepNext w:val="0"/>
        <w:keepLines w:val="0"/>
        <w:pageBreakBefore w:val="0"/>
        <w:widowControl w:val="0"/>
        <w:kinsoku/>
        <w:wordWrap/>
        <w:overflowPunct/>
        <w:topLinePunct w:val="0"/>
        <w:autoSpaceDE w:val="0"/>
        <w:autoSpaceDN w:val="0"/>
        <w:bidi w:val="0"/>
        <w:adjustRightInd w:val="0"/>
        <w:snapToGrid w:val="0"/>
        <w:spacing w:line="600" w:lineRule="exact"/>
        <w:ind w:firstLine="560" w:firstLineChars="200"/>
        <w:textAlignment w:val="auto"/>
        <w:rPr>
          <w:rFonts w:hint="eastAsia" w:ascii="宋体" w:hAnsi="宋体" w:eastAsia="宋体" w:cs="宋体"/>
          <w:color w:val="auto"/>
          <w:sz w:val="28"/>
          <w:szCs w:val="28"/>
          <w:lang w:val="zh-CN"/>
        </w:rPr>
      </w:pPr>
      <w:r>
        <w:rPr>
          <w:rFonts w:hint="eastAsia" w:ascii="宋体" w:hAnsi="宋体" w:eastAsia="宋体" w:cs="宋体"/>
          <w:color w:val="auto"/>
          <w:sz w:val="28"/>
          <w:szCs w:val="28"/>
          <w:lang w:val="zh-CN"/>
        </w:rPr>
        <w:t>触电事故主要发生在泵等电气设备操作、检修等方面。形成事故的原因主要有：非电工操作、违章操作、不使用或使用不合格电工工具、设备接地设施损坏或失灵等。</w:t>
      </w:r>
    </w:p>
    <w:p w14:paraId="6C2509B9">
      <w:pPr>
        <w:pStyle w:val="4"/>
        <w:keepNext/>
        <w:keepLines/>
        <w:pageBreakBefore w:val="0"/>
        <w:widowControl w:val="0"/>
        <w:kinsoku/>
        <w:wordWrap/>
        <w:overflowPunct/>
        <w:topLinePunct w:val="0"/>
        <w:autoSpaceDE/>
        <w:autoSpaceDN/>
        <w:bidi w:val="0"/>
        <w:adjustRightInd/>
        <w:snapToGrid w:val="0"/>
        <w:spacing w:before="12" w:after="0" w:line="600" w:lineRule="exact"/>
        <w:ind w:left="0" w:leftChars="0" w:firstLine="0" w:firstLineChars="0"/>
        <w:textAlignment w:val="auto"/>
        <w:outlineLvl w:val="1"/>
        <w:rPr>
          <w:rFonts w:hint="eastAsia" w:ascii="宋体" w:hAnsi="宋体" w:eastAsia="宋体" w:cs="宋体"/>
          <w:b/>
          <w:bCs/>
          <w:snapToGrid w:val="0"/>
          <w:color w:val="auto"/>
          <w:kern w:val="0"/>
          <w:sz w:val="30"/>
          <w:szCs w:val="30"/>
        </w:rPr>
      </w:pPr>
      <w:bookmarkStart w:id="146" w:name="_Toc413829148"/>
      <w:bookmarkStart w:id="147" w:name="_Toc12563"/>
      <w:bookmarkStart w:id="148" w:name="_Toc11436"/>
      <w:bookmarkStart w:id="149" w:name="_Toc447875357"/>
      <w:bookmarkStart w:id="150" w:name="_Toc25248"/>
      <w:r>
        <w:rPr>
          <w:rFonts w:hint="eastAsia" w:ascii="宋体" w:hAnsi="宋体" w:eastAsia="宋体" w:cs="宋体"/>
          <w:b/>
          <w:bCs/>
          <w:snapToGrid w:val="0"/>
          <w:color w:val="auto"/>
          <w:kern w:val="0"/>
          <w:sz w:val="30"/>
          <w:szCs w:val="30"/>
          <w:lang w:val="en-US" w:eastAsia="zh-CN"/>
        </w:rPr>
        <w:t>3.5</w:t>
      </w:r>
      <w:r>
        <w:rPr>
          <w:rFonts w:hint="eastAsia" w:ascii="宋体" w:hAnsi="宋体" w:eastAsia="宋体" w:cs="宋体"/>
          <w:b/>
          <w:bCs/>
          <w:snapToGrid w:val="0"/>
          <w:color w:val="auto"/>
          <w:kern w:val="0"/>
          <w:sz w:val="30"/>
          <w:szCs w:val="30"/>
        </w:rPr>
        <w:t>检维修过程的危险有害因素辨识</w:t>
      </w:r>
      <w:bookmarkEnd w:id="146"/>
      <w:bookmarkEnd w:id="147"/>
      <w:bookmarkEnd w:id="148"/>
      <w:bookmarkEnd w:id="149"/>
      <w:bookmarkEnd w:id="150"/>
    </w:p>
    <w:p w14:paraId="08137E46">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color w:val="auto"/>
          <w:sz w:val="28"/>
          <w:szCs w:val="28"/>
        </w:rPr>
        <w:t>机械的检修、保养一般是在停机状态下进行的，由于生产设备的危险性和作业的特殊性，检修时往往迫使检修人员采取一些非常规的作法，例如攀高、将安全装置短路或停用等。使维护和修理过程容易出现正常操作不存在的危险，因而在设备检修时，是发生机械伤害最集中的时段。</w:t>
      </w:r>
    </w:p>
    <w:p w14:paraId="59254515">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检修作业比较频繁。本项目每年可能要进行一次停工检修，每年一次大修。设备运行过程中又常因突然性故障或事故，必须进行不停工或临时停工的检修和抢修。这经常性检修工作，容易使管理及维修人员习以为常，产生麻痹思想，增加了检修发生事故</w:t>
      </w:r>
      <w:r>
        <w:rPr>
          <w:rFonts w:hint="eastAsia" w:ascii="宋体" w:hAnsi="宋体" w:eastAsia="宋体" w:cs="宋体"/>
          <w:snapToGrid w:val="0"/>
          <w:color w:val="auto"/>
          <w:sz w:val="28"/>
          <w:szCs w:val="28"/>
          <w:lang w:eastAsia="zh-CN"/>
        </w:rPr>
        <w:t>的概率</w:t>
      </w:r>
      <w:r>
        <w:rPr>
          <w:rFonts w:hint="eastAsia" w:ascii="宋体" w:hAnsi="宋体" w:eastAsia="宋体" w:cs="宋体"/>
          <w:snapToGrid w:val="0"/>
          <w:color w:val="auto"/>
          <w:sz w:val="28"/>
          <w:szCs w:val="28"/>
        </w:rPr>
        <w:t>。</w:t>
      </w:r>
    </w:p>
    <w:p w14:paraId="167D9B4D">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检修防火安全制度不够健全，没有针对检修作业内容、范围提出的专门防火规定，施工要求也不明确，甚至在检修中置换、清洗的规定。导致事故发生，造成人员伤亡和财产损失。</w:t>
      </w:r>
    </w:p>
    <w:p w14:paraId="1D42C97C">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检修过程中，检修人员缺乏防意识，未戴个人防护品或佩戴不规范，盲目进入受限区域而导致中毒、窒息事故。</w:t>
      </w:r>
    </w:p>
    <w:p w14:paraId="6AD033BD">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snapToGrid w:val="0"/>
          <w:color w:val="auto"/>
          <w:sz w:val="28"/>
          <w:szCs w:val="28"/>
        </w:rPr>
      </w:pPr>
      <w:r>
        <w:rPr>
          <w:rFonts w:hint="eastAsia" w:ascii="宋体" w:hAnsi="宋体" w:eastAsia="宋体" w:cs="宋体"/>
          <w:snapToGrid w:val="0"/>
          <w:color w:val="auto"/>
          <w:sz w:val="28"/>
          <w:szCs w:val="28"/>
        </w:rPr>
        <w:t>在高处进行检修过程中，由于防护设施不全或由于检修人员安全防范意识差，未戴防护用品或安全设施不牢固，可能发生高处坠落事故。</w:t>
      </w:r>
    </w:p>
    <w:p w14:paraId="11315FD0">
      <w:pPr>
        <w:keepNext w:val="0"/>
        <w:keepLines w:val="0"/>
        <w:pageBreakBefore w:val="0"/>
        <w:widowControl w:val="0"/>
        <w:numPr>
          <w:ilvl w:val="0"/>
          <w:numId w:val="3"/>
        </w:numPr>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b/>
          <w:bCs/>
          <w:sz w:val="30"/>
          <w:szCs w:val="30"/>
          <w:lang w:val="en-US" w:eastAsia="zh-CN"/>
        </w:rPr>
      </w:pPr>
      <w:r>
        <w:rPr>
          <w:rFonts w:hint="eastAsia" w:ascii="宋体" w:hAnsi="宋体" w:eastAsia="宋体" w:cs="宋体"/>
          <w:snapToGrid w:val="0"/>
          <w:color w:val="auto"/>
          <w:sz w:val="28"/>
          <w:szCs w:val="28"/>
        </w:rPr>
        <w:t>检修过程中由于违章指挥、违章操作，可能导致中毒、高处坠落</w:t>
      </w:r>
      <w:r>
        <w:rPr>
          <w:rFonts w:hint="eastAsia" w:ascii="宋体" w:hAnsi="宋体" w:eastAsia="宋体" w:cs="宋体"/>
          <w:snapToGrid w:val="0"/>
          <w:color w:val="auto"/>
          <w:sz w:val="28"/>
          <w:szCs w:val="28"/>
          <w:lang w:eastAsia="zh-CN"/>
        </w:rPr>
        <w:t>等</w:t>
      </w:r>
      <w:r>
        <w:rPr>
          <w:rFonts w:hint="eastAsia" w:ascii="宋体" w:hAnsi="宋体" w:eastAsia="宋体" w:cs="宋体"/>
          <w:snapToGrid w:val="0"/>
          <w:color w:val="auto"/>
          <w:sz w:val="28"/>
          <w:szCs w:val="28"/>
        </w:rPr>
        <w:t>人身安全事故。</w:t>
      </w:r>
    </w:p>
    <w:p w14:paraId="4460F679">
      <w:pPr>
        <w:keepNext w:val="0"/>
        <w:keepLines w:val="0"/>
        <w:pageBreakBefore w:val="0"/>
        <w:widowControl w:val="0"/>
        <w:kinsoku/>
        <w:wordWrap/>
        <w:overflowPunct/>
        <w:topLinePunct/>
        <w:autoSpaceDE/>
        <w:autoSpaceDN/>
        <w:bidi w:val="0"/>
        <w:adjustRightInd w:val="0"/>
        <w:snapToGrid w:val="0"/>
        <w:spacing w:line="600" w:lineRule="exact"/>
        <w:textAlignment w:val="auto"/>
        <w:outlineLvl w:val="1"/>
        <w:rPr>
          <w:rFonts w:hint="eastAsia" w:ascii="宋体" w:hAnsi="宋体" w:eastAsia="宋体" w:cs="宋体"/>
          <w:b/>
          <w:bCs/>
          <w:sz w:val="30"/>
          <w:szCs w:val="30"/>
          <w:lang w:val="en-US" w:eastAsia="zh-CN"/>
        </w:rPr>
      </w:pPr>
      <w:bookmarkStart w:id="151" w:name="_Toc28332"/>
      <w:r>
        <w:rPr>
          <w:rFonts w:hint="eastAsia" w:ascii="宋体" w:hAnsi="宋体" w:eastAsia="宋体" w:cs="宋体"/>
          <w:b/>
          <w:bCs/>
          <w:sz w:val="30"/>
          <w:szCs w:val="30"/>
          <w:lang w:val="en-US" w:eastAsia="zh-CN"/>
        </w:rPr>
        <w:t>3.6危险、有害物质辨识</w:t>
      </w:r>
      <w:bookmarkEnd w:id="151"/>
    </w:p>
    <w:p w14:paraId="17ABAF67">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outlineLvl w:val="9"/>
        <w:rPr>
          <w:rFonts w:hint="eastAsia" w:ascii="黑体"/>
          <w:b w:val="0"/>
          <w:bCs/>
          <w:sz w:val="28"/>
          <w:szCs w:val="28"/>
          <w:lang w:val="en-US" w:eastAsia="zh-CN"/>
        </w:rPr>
      </w:pPr>
      <w:r>
        <w:rPr>
          <w:rFonts w:hint="eastAsia" w:ascii="黑体"/>
          <w:b w:val="0"/>
          <w:bCs/>
          <w:sz w:val="28"/>
          <w:szCs w:val="28"/>
        </w:rPr>
        <w:t>本项目涉及使用润滑油、冷却液、压缩空气等</w:t>
      </w:r>
      <w:r>
        <w:rPr>
          <w:rFonts w:hint="eastAsia" w:ascii="黑体"/>
          <w:b w:val="0"/>
          <w:bCs/>
          <w:sz w:val="28"/>
          <w:szCs w:val="28"/>
          <w:lang w:val="en-US" w:eastAsia="zh-CN"/>
        </w:rPr>
        <w:t>危险有害物质。</w:t>
      </w:r>
    </w:p>
    <w:p w14:paraId="002F32AA">
      <w:pPr>
        <w:keepNext w:val="0"/>
        <w:keepLines w:val="0"/>
        <w:pageBreakBefore w:val="0"/>
        <w:widowControl w:val="0"/>
        <w:kinsoku/>
        <w:wordWrap/>
        <w:overflowPunct/>
        <w:topLinePunct w:val="0"/>
        <w:autoSpaceDE/>
        <w:autoSpaceDN/>
        <w:bidi w:val="0"/>
        <w:adjustRightInd w:val="0"/>
        <w:snapToGrid/>
        <w:spacing w:line="600" w:lineRule="exact"/>
        <w:ind w:firstLine="560" w:firstLineChars="200"/>
        <w:textAlignment w:val="auto"/>
        <w:rPr>
          <w:rFonts w:hint="eastAsia"/>
          <w:sz w:val="28"/>
          <w:szCs w:val="28"/>
          <w:lang w:val="en-US" w:eastAsia="zh-CN"/>
        </w:rPr>
      </w:pPr>
      <w:r>
        <w:rPr>
          <w:rFonts w:hint="eastAsia"/>
          <w:sz w:val="28"/>
          <w:szCs w:val="28"/>
          <w:lang w:val="en-US" w:eastAsia="zh-CN"/>
        </w:rPr>
        <w:t>（1）润滑油</w:t>
      </w:r>
    </w:p>
    <w:p w14:paraId="3687B326">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sz w:val="28"/>
          <w:szCs w:val="28"/>
          <w:lang w:eastAsia="zh-CN"/>
        </w:rPr>
      </w:pPr>
      <w:r>
        <w:rPr>
          <w:sz w:val="28"/>
          <w:szCs w:val="28"/>
        </w:rPr>
        <w:t>润滑油通常具有一定的可燃性，尤其是在高温、明火或静电等火源存在的情况下。如果润滑油泄漏并积聚在一定区域，遇到合适的火源，就可能引发火灾甚至爆炸。在润滑油的使用过程中，如进行润滑操作或设备运行时，可能会产生油雾或挥发气体。如果工人长期吸入这些油雾或气体，会对呼吸系统造成损害，引发咳嗽、气喘、呼吸困难等症状</w:t>
      </w:r>
      <w:r>
        <w:rPr>
          <w:rFonts w:hint="eastAsia"/>
          <w:sz w:val="28"/>
          <w:szCs w:val="28"/>
          <w:lang w:eastAsia="zh-CN"/>
        </w:rPr>
        <w:t>。</w:t>
      </w:r>
    </w:p>
    <w:p w14:paraId="408D4A1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sz w:val="28"/>
          <w:szCs w:val="28"/>
          <w:lang w:val="en-US" w:eastAsia="zh-CN"/>
        </w:rPr>
      </w:pPr>
      <w:r>
        <w:rPr>
          <w:rFonts w:hint="eastAsia"/>
          <w:sz w:val="28"/>
          <w:szCs w:val="28"/>
          <w:lang w:eastAsia="zh-CN"/>
        </w:rPr>
        <w:t>（</w:t>
      </w:r>
      <w:r>
        <w:rPr>
          <w:rFonts w:hint="eastAsia"/>
          <w:sz w:val="28"/>
          <w:szCs w:val="28"/>
          <w:lang w:val="en-US" w:eastAsia="zh-CN"/>
        </w:rPr>
        <w:t>2）冷却液</w:t>
      </w:r>
    </w:p>
    <w:p w14:paraId="4312D5C2">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iCs w:val="0"/>
          <w:caps w:val="0"/>
          <w:spacing w:val="0"/>
          <w:sz w:val="28"/>
          <w:szCs w:val="28"/>
          <w:shd w:val="clear" w:fill="FFFFFF"/>
        </w:rPr>
      </w:pPr>
      <w:r>
        <w:rPr>
          <w:sz w:val="28"/>
          <w:szCs w:val="28"/>
        </w:rPr>
        <w:t>部分冷却液中含有易燃的有机成分，如乙醇、甲醇等。这些成分在一定条件下具有可燃性，如果冷却液泄漏并遇到明火、高温或静电等火源，就可能引发火灾</w:t>
      </w:r>
      <w:r>
        <w:rPr>
          <w:rFonts w:hint="eastAsia" w:ascii="宋体" w:hAnsi="宋体" w:eastAsia="宋体" w:cs="宋体"/>
          <w:sz w:val="28"/>
          <w:szCs w:val="28"/>
        </w:rPr>
        <w:t>。</w:t>
      </w:r>
      <w:r>
        <w:rPr>
          <w:rFonts w:hint="eastAsia" w:ascii="宋体" w:hAnsi="宋体" w:eastAsia="宋体" w:cs="宋体"/>
          <w:i w:val="0"/>
          <w:iCs w:val="0"/>
          <w:caps w:val="0"/>
          <w:spacing w:val="0"/>
          <w:sz w:val="28"/>
          <w:szCs w:val="28"/>
          <w:shd w:val="clear" w:fill="FFFFFF"/>
        </w:rPr>
        <w:t>冷却液中添加的一些防腐剂、缓蚀剂等添加剂也可能具有毒性。例如，某些含磷、含硼的添加剂，过量摄入可能对人体的神经系统、消化系统等产生不良影响，干扰人体正常的生理代谢过程。</w:t>
      </w:r>
    </w:p>
    <w:p w14:paraId="62B1FD47">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i w:val="0"/>
          <w:iCs w:val="0"/>
          <w:caps w:val="0"/>
          <w:spacing w:val="0"/>
          <w:sz w:val="28"/>
          <w:szCs w:val="28"/>
          <w:shd w:val="clear" w:fill="FFFFFF"/>
          <w:lang w:val="en-US" w:eastAsia="zh-CN"/>
        </w:rPr>
      </w:pPr>
      <w:r>
        <w:rPr>
          <w:rFonts w:hint="eastAsia" w:ascii="宋体" w:hAnsi="宋体" w:eastAsia="宋体" w:cs="宋体"/>
          <w:i w:val="0"/>
          <w:iCs w:val="0"/>
          <w:caps w:val="0"/>
          <w:spacing w:val="0"/>
          <w:sz w:val="28"/>
          <w:szCs w:val="28"/>
          <w:shd w:val="clear" w:fill="FFFFFF"/>
          <w:lang w:val="en-US" w:eastAsia="zh-CN"/>
        </w:rPr>
        <w:t>（3）压缩空气</w:t>
      </w:r>
    </w:p>
    <w:p w14:paraId="0D430F85">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sz w:val="28"/>
          <w:szCs w:val="28"/>
        </w:rPr>
      </w:pPr>
      <w:r>
        <w:rPr>
          <w:sz w:val="28"/>
          <w:szCs w:val="28"/>
        </w:rPr>
        <w:t>压缩空气通常存储在压力容器中，如果容器本身存在质量缺陷、腐蚀、疲劳损伤等问题，或者受到超压、撞击等外力作用，可能会发生破裂。容器破裂时，内部的高压空气会瞬间释放，产生强大的冲击力和碎片，可能造成人员伤亡、设备损坏和建筑物破坏。</w:t>
      </w:r>
      <w:r>
        <w:rPr>
          <w:rFonts w:hint="default"/>
          <w:sz w:val="28"/>
          <w:szCs w:val="28"/>
        </w:rPr>
        <w:t>压缩空气管道在长期使用过程中，可能因管道材质老化、磨损、焊接缺陷、压力波动等原因导致爆裂。管道爆裂会使压缩空气高速喷出，形成强大的气流，可能将附近的人员吹倒、刮伤，同时也会对周围的设备和设施造成损坏。</w:t>
      </w:r>
    </w:p>
    <w:p w14:paraId="24A1024D">
      <w:pPr>
        <w:keepNext w:val="0"/>
        <w:keepLines w:val="0"/>
        <w:pageBreakBefore w:val="0"/>
        <w:widowControl w:val="0"/>
        <w:kinsoku/>
        <w:wordWrap/>
        <w:overflowPunct/>
        <w:topLinePunct/>
        <w:autoSpaceDE/>
        <w:autoSpaceDN/>
        <w:bidi w:val="0"/>
        <w:adjustRightInd w:val="0"/>
        <w:snapToGrid w:val="0"/>
        <w:spacing w:line="600" w:lineRule="exact"/>
        <w:textAlignment w:val="auto"/>
        <w:outlineLvl w:val="1"/>
        <w:rPr>
          <w:rFonts w:hint="eastAsia" w:ascii="宋体" w:hAnsi="宋体" w:eastAsia="宋体" w:cs="宋体"/>
          <w:b/>
          <w:bCs/>
          <w:sz w:val="30"/>
          <w:szCs w:val="30"/>
          <w:lang w:val="en-US" w:eastAsia="zh-CN"/>
        </w:rPr>
      </w:pPr>
      <w:bookmarkStart w:id="152" w:name="_Toc13454"/>
      <w:r>
        <w:rPr>
          <w:rFonts w:hint="eastAsia" w:ascii="宋体" w:hAnsi="宋体" w:eastAsia="宋体" w:cs="宋体"/>
          <w:b/>
          <w:bCs/>
          <w:sz w:val="30"/>
          <w:szCs w:val="30"/>
          <w:lang w:val="en-US" w:eastAsia="zh-CN"/>
        </w:rPr>
        <w:t>3.7特殊作业危险、有害因素辨识与分析</w:t>
      </w:r>
      <w:bookmarkEnd w:id="152"/>
    </w:p>
    <w:p w14:paraId="5B038C97">
      <w:pPr>
        <w:keepNext w:val="0"/>
        <w:keepLines w:val="0"/>
        <w:pageBreakBefore w:val="0"/>
        <w:widowControl w:val="0"/>
        <w:kinsoku/>
        <w:wordWrap/>
        <w:overflowPunct/>
        <w:topLinePunct/>
        <w:autoSpaceDE/>
        <w:autoSpaceDN/>
        <w:bidi w:val="0"/>
        <w:adjustRightInd w:val="0"/>
        <w:snapToGrid w:val="0"/>
        <w:spacing w:line="600" w:lineRule="exact"/>
        <w:textAlignment w:val="auto"/>
        <w:outlineLvl w:val="2"/>
        <w:rPr>
          <w:rFonts w:hint="eastAsia" w:hAnsi="宋体" w:cs="宋体"/>
          <w:b/>
          <w:bCs/>
          <w:sz w:val="28"/>
          <w:szCs w:val="28"/>
          <w:lang w:val="en-US" w:eastAsia="zh-CN"/>
        </w:rPr>
      </w:pPr>
      <w:bookmarkStart w:id="153" w:name="_Toc14916"/>
      <w:r>
        <w:rPr>
          <w:rFonts w:hint="eastAsia" w:ascii="宋体" w:hAnsi="宋体" w:eastAsia="宋体" w:cs="宋体"/>
          <w:b/>
          <w:bCs/>
          <w:sz w:val="28"/>
          <w:szCs w:val="28"/>
          <w:lang w:val="en-US" w:eastAsia="zh-CN"/>
        </w:rPr>
        <w:t>3.7.1</w:t>
      </w:r>
      <w:r>
        <w:rPr>
          <w:rFonts w:hint="eastAsia" w:hAnsi="宋体" w:cs="宋体"/>
          <w:b/>
          <w:bCs/>
          <w:sz w:val="28"/>
          <w:szCs w:val="28"/>
          <w:lang w:val="en-US" w:eastAsia="zh-CN"/>
        </w:rPr>
        <w:t>动火作业</w:t>
      </w:r>
      <w:bookmarkEnd w:id="153"/>
    </w:p>
    <w:p w14:paraId="79966B6F">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1）</w:t>
      </w:r>
      <w:r>
        <w:rPr>
          <w:rFonts w:hint="eastAsia" w:ascii="宋体" w:hAnsi="宋体" w:eastAsia="宋体" w:cs="宋体"/>
          <w:sz w:val="28"/>
          <w:szCs w:val="28"/>
        </w:rPr>
        <w:t>火灾</w:t>
      </w:r>
      <w:r>
        <w:rPr>
          <w:rFonts w:hint="eastAsia" w:ascii="宋体" w:hAnsi="宋体" w:eastAsia="宋体" w:cs="宋体"/>
          <w:sz w:val="28"/>
          <w:szCs w:val="28"/>
          <w:lang w:eastAsia="zh-CN"/>
        </w:rPr>
        <w:t>、</w:t>
      </w:r>
      <w:r>
        <w:rPr>
          <w:rFonts w:hint="eastAsia" w:ascii="宋体" w:hAnsi="宋体" w:eastAsia="宋体" w:cs="宋体"/>
          <w:sz w:val="28"/>
          <w:szCs w:val="28"/>
        </w:rPr>
        <w:t>爆炸</w:t>
      </w:r>
    </w:p>
    <w:p w14:paraId="1D4ECEA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bidi="ar-SA"/>
        </w:rPr>
        <w:t>①</w:t>
      </w:r>
      <w:r>
        <w:rPr>
          <w:rFonts w:hint="eastAsia" w:ascii="宋体" w:hAnsi="宋体" w:eastAsia="宋体" w:cs="宋体"/>
          <w:sz w:val="28"/>
          <w:szCs w:val="28"/>
        </w:rPr>
        <w:t>易燃易爆物质存在：在动火作业现场及周边，可能存在易燃易爆气体、液体或固体。如石油化工企业中，储存和输送易燃易爆化学品的管道、储罐等设备附近，即使微量泄漏，遇动火作业产生的明火、火花或高温，就可能引发燃烧爆炸。</w:t>
      </w:r>
    </w:p>
    <w:p w14:paraId="59D1B4E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bidi="ar-SA"/>
        </w:rPr>
        <w:t>②</w:t>
      </w:r>
      <w:r>
        <w:rPr>
          <w:rFonts w:hint="eastAsia" w:ascii="宋体" w:hAnsi="宋体" w:eastAsia="宋体" w:cs="宋体"/>
          <w:sz w:val="28"/>
          <w:szCs w:val="28"/>
        </w:rPr>
        <w:t>通风不良：若作业场所通风不畅，易燃易爆气体或粉尘无法及时排出，会形成爆炸性混合物。如在有限空间内动火，空间狭小且空气流通差，积聚的易燃易爆物质达到爆炸极限，遇火源极易爆炸。</w:t>
      </w:r>
    </w:p>
    <w:p w14:paraId="1567644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sz w:val="28"/>
          <w:szCs w:val="28"/>
        </w:rPr>
      </w:pPr>
      <w:r>
        <w:rPr>
          <w:rFonts w:hint="eastAsia" w:ascii="宋体" w:hAnsi="宋体" w:eastAsia="宋体" w:cs="宋体"/>
          <w:sz w:val="28"/>
          <w:szCs w:val="28"/>
          <w:lang w:val="en-US" w:eastAsia="zh-CN" w:bidi="ar-SA"/>
        </w:rPr>
        <w:t>③</w:t>
      </w:r>
      <w:r>
        <w:rPr>
          <w:rFonts w:hint="eastAsia" w:ascii="宋体" w:hAnsi="宋体" w:eastAsia="宋体" w:cs="宋体"/>
          <w:sz w:val="28"/>
          <w:szCs w:val="28"/>
        </w:rPr>
        <w:t>动火作业操作不当：动火过程中，若焊接、切割等操作不符合安全规范，如焊接电流过大、时间过长，可能使焊件过热，引燃周围可燃物。气焊、气割时，若乙炔瓶、氧气瓶的阀门未拧紧或胶管破裂，气体泄漏遇明火会迅速燃烧爆炸。</w:t>
      </w:r>
    </w:p>
    <w:p w14:paraId="0DD28EB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sz w:val="28"/>
          <w:szCs w:val="28"/>
        </w:rPr>
      </w:pPr>
      <w:r>
        <w:rPr>
          <w:rFonts w:hint="eastAsia"/>
          <w:sz w:val="28"/>
          <w:szCs w:val="28"/>
          <w:lang w:eastAsia="zh-CN"/>
        </w:rPr>
        <w:t>（</w:t>
      </w:r>
      <w:r>
        <w:rPr>
          <w:rFonts w:hint="eastAsia"/>
          <w:sz w:val="28"/>
          <w:szCs w:val="28"/>
          <w:lang w:val="en-US" w:eastAsia="zh-CN"/>
        </w:rPr>
        <w:t>2）</w:t>
      </w:r>
      <w:r>
        <w:rPr>
          <w:rFonts w:hint="default"/>
          <w:sz w:val="28"/>
          <w:szCs w:val="28"/>
        </w:rPr>
        <w:t>灼烫</w:t>
      </w:r>
    </w:p>
    <w:p w14:paraId="2148607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Times New Roman" w:eastAsia="宋体" w:cs="Times New Roman"/>
          <w:sz w:val="28"/>
          <w:szCs w:val="28"/>
          <w:lang w:val="en-US" w:eastAsia="zh-CN" w:bidi="ar-SA"/>
        </w:rPr>
        <w:t>①</w:t>
      </w:r>
      <w:r>
        <w:rPr>
          <w:rFonts w:hint="default"/>
          <w:sz w:val="28"/>
          <w:szCs w:val="28"/>
        </w:rPr>
        <w:t>火焰与高温：动火作业时，焊接、切割产生的火焰温度高达数千摄氏度，喷灯、电钻等设备在运行过程中也会产生高温。作业人员若未正确穿戴防护用品，如防护眼镜、面罩、防火服等，身体暴露部位易被火焰、高温金属飞溅物等烫伤。</w:t>
      </w:r>
    </w:p>
    <w:p w14:paraId="76CB6C7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Times New Roman" w:eastAsia="宋体" w:cs="Times New Roman"/>
          <w:sz w:val="28"/>
          <w:szCs w:val="28"/>
          <w:lang w:val="en-US" w:eastAsia="zh-CN" w:bidi="ar-SA"/>
        </w:rPr>
        <w:t>②</w:t>
      </w:r>
      <w:r>
        <w:rPr>
          <w:rFonts w:hint="default"/>
          <w:sz w:val="28"/>
          <w:szCs w:val="28"/>
        </w:rPr>
        <w:t>热辐射：长时间在动火作业现场附近停留，人体会受到强烈的热辐射，可能导致皮肤灼伤、中暑等。尤其是在夏季高温环境下，热辐射与环境高温叠加，对作业人员的危害更大。</w:t>
      </w:r>
    </w:p>
    <w:p w14:paraId="0F1150C3">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sz w:val="28"/>
          <w:szCs w:val="28"/>
        </w:rPr>
      </w:pPr>
      <w:r>
        <w:rPr>
          <w:rFonts w:hint="eastAsia"/>
          <w:sz w:val="28"/>
          <w:szCs w:val="28"/>
          <w:lang w:eastAsia="zh-CN"/>
        </w:rPr>
        <w:t>（</w:t>
      </w:r>
      <w:r>
        <w:rPr>
          <w:rFonts w:hint="eastAsia"/>
          <w:sz w:val="28"/>
          <w:szCs w:val="28"/>
          <w:lang w:val="en-US" w:eastAsia="zh-CN"/>
        </w:rPr>
        <w:t>3）</w:t>
      </w:r>
      <w:r>
        <w:rPr>
          <w:rFonts w:hint="default"/>
          <w:sz w:val="28"/>
          <w:szCs w:val="28"/>
        </w:rPr>
        <w:t>触电</w:t>
      </w:r>
    </w:p>
    <w:p w14:paraId="1B29906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Times New Roman" w:eastAsia="宋体" w:cs="Times New Roman"/>
          <w:sz w:val="28"/>
          <w:szCs w:val="28"/>
          <w:lang w:val="en-US" w:eastAsia="zh-CN" w:bidi="ar-SA"/>
        </w:rPr>
        <w:t>①</w:t>
      </w:r>
      <w:r>
        <w:rPr>
          <w:rFonts w:hint="default"/>
          <w:sz w:val="28"/>
          <w:szCs w:val="28"/>
        </w:rPr>
        <w:t>电气设备故障：动火作业中使用的电焊机、电动工具等电气设备，若其绝缘层老化、破损，或设备受潮，会使设备外壳带电。作业人员一旦接触到带电外壳，就会发生触电事故。</w:t>
      </w:r>
    </w:p>
    <w:p w14:paraId="3628A84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Times New Roman" w:eastAsia="宋体" w:cs="Times New Roman"/>
          <w:sz w:val="28"/>
          <w:szCs w:val="28"/>
          <w:lang w:val="en-US" w:eastAsia="zh-CN" w:bidi="ar-SA"/>
        </w:rPr>
        <w:t>②</w:t>
      </w:r>
      <w:r>
        <w:rPr>
          <w:rFonts w:hint="default"/>
          <w:sz w:val="28"/>
          <w:szCs w:val="28"/>
        </w:rPr>
        <w:t>电气线路敷设不当：临时敷设的电气线路若未按规定架空或穿管保护，可能被车辆碾压、重物砸压，导致线路破损漏电。若线路与潮湿地面接触，也会增加触电风险。</w:t>
      </w:r>
    </w:p>
    <w:p w14:paraId="2DC5427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default"/>
          <w:sz w:val="28"/>
          <w:szCs w:val="28"/>
        </w:rPr>
      </w:pPr>
      <w:r>
        <w:rPr>
          <w:rFonts w:hint="eastAsia"/>
          <w:sz w:val="28"/>
          <w:szCs w:val="28"/>
          <w:lang w:eastAsia="zh-CN"/>
        </w:rPr>
        <w:t>（</w:t>
      </w:r>
      <w:r>
        <w:rPr>
          <w:rFonts w:hint="eastAsia"/>
          <w:sz w:val="28"/>
          <w:szCs w:val="28"/>
          <w:lang w:val="en-US" w:eastAsia="zh-CN"/>
        </w:rPr>
        <w:t>4）</w:t>
      </w:r>
      <w:r>
        <w:rPr>
          <w:rFonts w:hint="default"/>
          <w:sz w:val="28"/>
          <w:szCs w:val="28"/>
        </w:rPr>
        <w:t>机械伤害</w:t>
      </w:r>
    </w:p>
    <w:p w14:paraId="5D48FBB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Times New Roman" w:eastAsia="宋体" w:cs="Times New Roman"/>
          <w:sz w:val="28"/>
          <w:szCs w:val="28"/>
          <w:lang w:val="en-US" w:eastAsia="zh-CN" w:bidi="ar-SA"/>
        </w:rPr>
        <w:t>①</w:t>
      </w:r>
      <w:r>
        <w:rPr>
          <w:rFonts w:hint="default"/>
          <w:sz w:val="28"/>
          <w:szCs w:val="28"/>
        </w:rPr>
        <w:t>设备故障：动火作业中使用的电钻、砂轮等转动设备，若其传动部件（如皮带、齿轮、链条等）未安装防护装置，或防护装置损坏，当设备运行时，作业人员的衣物、头发等可能被卷入传动部件，造成机械伤害。</w:t>
      </w:r>
    </w:p>
    <w:p w14:paraId="6229B6A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eastAsia" w:hAnsi="宋体" w:cs="宋体"/>
          <w:b/>
          <w:bCs/>
          <w:sz w:val="28"/>
          <w:szCs w:val="28"/>
          <w:lang w:val="en-US" w:eastAsia="zh-CN"/>
        </w:rPr>
      </w:pPr>
      <w:r>
        <w:rPr>
          <w:rFonts w:hint="eastAsia" w:ascii="宋体" w:hAnsi="Times New Roman" w:eastAsia="宋体" w:cs="Times New Roman"/>
          <w:sz w:val="28"/>
          <w:szCs w:val="28"/>
          <w:lang w:val="en-US" w:eastAsia="zh-CN" w:bidi="ar-SA"/>
        </w:rPr>
        <w:t>②</w:t>
      </w:r>
      <w:r>
        <w:rPr>
          <w:rFonts w:hint="default"/>
          <w:sz w:val="28"/>
          <w:szCs w:val="28"/>
        </w:rPr>
        <w:t>工具使用不当：使用手持电动工具时，若作业人员操作方法不正确，如用力过猛、姿势不稳，可能导致工具失控，造成人员受伤。例如，使用电钻时，钻头突然折断飞出，可能击中作业人员。</w:t>
      </w:r>
    </w:p>
    <w:p w14:paraId="7A40A66C">
      <w:pPr>
        <w:keepNext w:val="0"/>
        <w:keepLines w:val="0"/>
        <w:pageBreakBefore w:val="0"/>
        <w:widowControl w:val="0"/>
        <w:kinsoku/>
        <w:wordWrap/>
        <w:overflowPunct/>
        <w:topLinePunct/>
        <w:autoSpaceDE/>
        <w:autoSpaceDN/>
        <w:bidi w:val="0"/>
        <w:adjustRightInd w:val="0"/>
        <w:snapToGrid w:val="0"/>
        <w:spacing w:line="600" w:lineRule="exact"/>
        <w:textAlignment w:val="auto"/>
        <w:outlineLvl w:val="2"/>
        <w:rPr>
          <w:rFonts w:hint="eastAsia" w:hAnsi="宋体" w:cs="宋体"/>
          <w:b/>
          <w:bCs/>
          <w:sz w:val="28"/>
          <w:szCs w:val="28"/>
          <w:lang w:val="en-US" w:eastAsia="zh-CN"/>
        </w:rPr>
      </w:pPr>
      <w:bookmarkStart w:id="154" w:name="_Toc8893"/>
      <w:r>
        <w:rPr>
          <w:rFonts w:hint="eastAsia" w:hAnsi="宋体" w:cs="宋体"/>
          <w:b/>
          <w:bCs/>
          <w:sz w:val="28"/>
          <w:szCs w:val="28"/>
          <w:lang w:val="en-US" w:eastAsia="zh-CN"/>
        </w:rPr>
        <w:t>3.7.2临时用电作业</w:t>
      </w:r>
      <w:bookmarkEnd w:id="154"/>
    </w:p>
    <w:p w14:paraId="7F2323D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sz w:val="28"/>
          <w:szCs w:val="28"/>
          <w:lang w:eastAsia="zh-CN"/>
        </w:rPr>
        <w:t>（</w:t>
      </w:r>
      <w:r>
        <w:rPr>
          <w:rFonts w:hint="eastAsia"/>
          <w:sz w:val="28"/>
          <w:szCs w:val="28"/>
          <w:lang w:val="en-US" w:eastAsia="zh-CN"/>
        </w:rPr>
        <w:t>1）</w:t>
      </w:r>
      <w:r>
        <w:rPr>
          <w:rFonts w:hint="default"/>
          <w:sz w:val="28"/>
          <w:szCs w:val="28"/>
        </w:rPr>
        <w:t>触电</w:t>
      </w:r>
    </w:p>
    <w:p w14:paraId="0EEE11F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Times New Roman" w:eastAsia="宋体" w:cs="Times New Roman"/>
          <w:sz w:val="28"/>
          <w:szCs w:val="28"/>
          <w:lang w:val="en-US" w:eastAsia="zh-CN" w:bidi="ar-SA"/>
        </w:rPr>
        <w:t>①</w:t>
      </w:r>
      <w:r>
        <w:rPr>
          <w:rFonts w:hint="default"/>
          <w:sz w:val="28"/>
          <w:szCs w:val="28"/>
        </w:rPr>
        <w:t>电气设备和线路故障：临时用电设备和线路常因使用频繁、移动性大，易出现绝缘损坏、导线老化、接头松动等问题。如绝缘层破损使带电体暴露，作业人员一旦接触就会触电。</w:t>
      </w:r>
    </w:p>
    <w:p w14:paraId="03D51D4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Times New Roman" w:eastAsia="宋体" w:cs="Times New Roman"/>
          <w:sz w:val="28"/>
          <w:szCs w:val="28"/>
          <w:lang w:val="en-US" w:eastAsia="zh-CN" w:bidi="ar-SA"/>
        </w:rPr>
        <w:t>②</w:t>
      </w:r>
      <w:r>
        <w:rPr>
          <w:rFonts w:hint="default"/>
          <w:sz w:val="28"/>
          <w:szCs w:val="28"/>
        </w:rPr>
        <w:t>未正确接地或接零：若电气设备的金属外壳未有效接地或接零，当设备发生漏电时，外壳会带电，人体接触后会引发触电事故。</w:t>
      </w:r>
    </w:p>
    <w:p w14:paraId="50787260">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sz w:val="28"/>
          <w:szCs w:val="28"/>
        </w:rPr>
      </w:pPr>
      <w:r>
        <w:rPr>
          <w:rFonts w:hint="eastAsia" w:ascii="宋体" w:hAnsi="Times New Roman" w:eastAsia="宋体" w:cs="Times New Roman"/>
          <w:sz w:val="28"/>
          <w:szCs w:val="28"/>
          <w:lang w:val="en-US" w:eastAsia="zh-CN" w:bidi="ar-SA"/>
        </w:rPr>
        <w:t>③</w:t>
      </w:r>
      <w:r>
        <w:rPr>
          <w:rFonts w:hint="default"/>
          <w:sz w:val="28"/>
          <w:szCs w:val="28"/>
        </w:rPr>
        <w:t>违规操作：作业人员在湿手状态下操作电气设备，或在带电设备周围使用金属工具，易引发触电。此外，非专业电工进行电气安装、维修等作业，因缺乏专业知识和技能，也容易导致触电事故。</w:t>
      </w:r>
    </w:p>
    <w:p w14:paraId="69302578">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sz w:val="28"/>
          <w:szCs w:val="28"/>
        </w:rPr>
      </w:pPr>
      <w:r>
        <w:rPr>
          <w:rFonts w:hint="eastAsia"/>
          <w:sz w:val="28"/>
          <w:szCs w:val="28"/>
          <w:lang w:eastAsia="zh-CN"/>
        </w:rPr>
        <w:t>（</w:t>
      </w:r>
      <w:r>
        <w:rPr>
          <w:rFonts w:hint="eastAsia"/>
          <w:sz w:val="28"/>
          <w:szCs w:val="28"/>
          <w:lang w:val="en-US" w:eastAsia="zh-CN"/>
        </w:rPr>
        <w:t>2）</w:t>
      </w:r>
      <w:r>
        <w:rPr>
          <w:rFonts w:hint="default"/>
          <w:sz w:val="28"/>
          <w:szCs w:val="28"/>
        </w:rPr>
        <w:t>火灾</w:t>
      </w:r>
    </w:p>
    <w:p w14:paraId="01A4F427">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Times New Roman" w:eastAsia="宋体" w:cs="Times New Roman"/>
          <w:sz w:val="28"/>
          <w:szCs w:val="28"/>
          <w:lang w:val="en-US" w:eastAsia="zh-CN" w:bidi="ar-SA"/>
        </w:rPr>
        <w:t>①</w:t>
      </w:r>
      <w:r>
        <w:rPr>
          <w:rFonts w:hint="default"/>
          <w:sz w:val="28"/>
          <w:szCs w:val="28"/>
        </w:rPr>
        <w:t>过载运行：临时用电线路如果接入过多设备，或使用的设备功率过大，会使线路电流超过额定值，导致电线发热，绝缘层加速老化甚至燃烧，引发火灾。</w:t>
      </w:r>
    </w:p>
    <w:p w14:paraId="48483EFF">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sz w:val="28"/>
          <w:szCs w:val="28"/>
        </w:rPr>
      </w:pPr>
      <w:r>
        <w:rPr>
          <w:rFonts w:hint="eastAsia" w:ascii="宋体" w:hAnsi="Times New Roman" w:eastAsia="宋体" w:cs="Times New Roman"/>
          <w:sz w:val="28"/>
          <w:szCs w:val="28"/>
          <w:lang w:val="en-US" w:eastAsia="zh-CN" w:bidi="ar-SA"/>
        </w:rPr>
        <w:t>②</w:t>
      </w:r>
      <w:r>
        <w:rPr>
          <w:rFonts w:hint="default"/>
          <w:sz w:val="28"/>
          <w:szCs w:val="28"/>
        </w:rPr>
        <w:t>短路故障：线路中的电线绝缘损坏、接线错误等原因都可能造成短路，短路时会产生大量热量，瞬间引燃周围的易燃物。</w:t>
      </w:r>
    </w:p>
    <w:p w14:paraId="36F5006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textAlignment w:val="auto"/>
        <w:rPr>
          <w:rFonts w:hint="default" w:hAnsi="宋体" w:cs="宋体"/>
          <w:b/>
          <w:bCs/>
          <w:sz w:val="28"/>
          <w:szCs w:val="28"/>
          <w:lang w:val="en-US" w:eastAsia="zh-CN"/>
        </w:rPr>
      </w:pPr>
      <w:r>
        <w:rPr>
          <w:rFonts w:hint="eastAsia" w:ascii="宋体" w:hAnsi="Times New Roman" w:eastAsia="宋体" w:cs="Times New Roman"/>
          <w:sz w:val="28"/>
          <w:szCs w:val="28"/>
          <w:lang w:val="en-US" w:eastAsia="zh-CN" w:bidi="ar-SA"/>
        </w:rPr>
        <w:t>③</w:t>
      </w:r>
      <w:r>
        <w:rPr>
          <w:rFonts w:hint="default"/>
          <w:sz w:val="28"/>
          <w:szCs w:val="28"/>
        </w:rPr>
        <w:t>电火花和电弧：电气设备在启动、停止或发生故障时，可能会产生电火花和电弧。如果周围有易燃易爆物质，就容易被引燃引爆。</w:t>
      </w:r>
    </w:p>
    <w:p w14:paraId="1F454481">
      <w:pPr>
        <w:keepNext w:val="0"/>
        <w:keepLines w:val="0"/>
        <w:pageBreakBefore w:val="0"/>
        <w:widowControl w:val="0"/>
        <w:kinsoku/>
        <w:wordWrap/>
        <w:overflowPunct/>
        <w:topLinePunct/>
        <w:autoSpaceDE/>
        <w:autoSpaceDN/>
        <w:bidi w:val="0"/>
        <w:adjustRightInd w:val="0"/>
        <w:snapToGrid w:val="0"/>
        <w:spacing w:line="600" w:lineRule="exact"/>
        <w:textAlignment w:val="auto"/>
        <w:outlineLvl w:val="1"/>
        <w:rPr>
          <w:rFonts w:hint="eastAsia" w:ascii="宋体" w:hAnsi="宋体" w:eastAsia="宋体" w:cs="宋体"/>
          <w:b/>
          <w:bCs/>
          <w:sz w:val="30"/>
          <w:szCs w:val="30"/>
        </w:rPr>
      </w:pPr>
      <w:bookmarkStart w:id="155" w:name="_Toc1761"/>
      <w:bookmarkStart w:id="156" w:name="_Toc15729"/>
      <w:r>
        <w:rPr>
          <w:rFonts w:hint="eastAsia" w:ascii="宋体" w:hAnsi="宋体" w:eastAsia="宋体" w:cs="宋体"/>
          <w:b/>
          <w:bCs/>
          <w:sz w:val="30"/>
          <w:szCs w:val="30"/>
          <w:lang w:val="en-US" w:eastAsia="zh-CN"/>
        </w:rPr>
        <w:t>3</w:t>
      </w:r>
      <w:r>
        <w:rPr>
          <w:rFonts w:hint="eastAsia" w:ascii="宋体" w:hAnsi="宋体" w:eastAsia="宋体" w:cs="宋体"/>
          <w:b/>
          <w:bCs/>
          <w:sz w:val="30"/>
          <w:szCs w:val="30"/>
        </w:rPr>
        <w:t>.</w:t>
      </w:r>
      <w:r>
        <w:rPr>
          <w:rFonts w:hint="eastAsia" w:hAnsi="宋体" w:cs="宋体"/>
          <w:b/>
          <w:bCs/>
          <w:sz w:val="30"/>
          <w:szCs w:val="30"/>
          <w:lang w:val="en-US" w:eastAsia="zh-CN"/>
        </w:rPr>
        <w:t>8</w:t>
      </w:r>
      <w:r>
        <w:rPr>
          <w:rFonts w:hint="eastAsia" w:ascii="宋体" w:hAnsi="宋体" w:eastAsia="宋体" w:cs="宋体"/>
          <w:b/>
          <w:bCs/>
          <w:sz w:val="30"/>
          <w:szCs w:val="30"/>
        </w:rPr>
        <w:t>重大危险源辨识</w:t>
      </w:r>
      <w:bookmarkEnd w:id="155"/>
      <w:bookmarkEnd w:id="156"/>
      <w:bookmarkStart w:id="157" w:name="_Toc471590268"/>
      <w:bookmarkStart w:id="158" w:name="_Toc290642934"/>
      <w:bookmarkStart w:id="159" w:name="_Toc99907687"/>
      <w:bookmarkStart w:id="160" w:name="_Toc89066781"/>
      <w:bookmarkStart w:id="161" w:name="_Toc277515395"/>
      <w:bookmarkStart w:id="162" w:name="_Toc30363"/>
      <w:bookmarkStart w:id="163" w:name="_Toc293430952"/>
      <w:bookmarkStart w:id="164" w:name="_Toc5856"/>
      <w:bookmarkStart w:id="165" w:name="_Toc309566548"/>
    </w:p>
    <w:p w14:paraId="1CD32316">
      <w:pPr>
        <w:keepNext w:val="0"/>
        <w:keepLines w:val="0"/>
        <w:pageBreakBefore w:val="0"/>
        <w:widowControl w:val="0"/>
        <w:kinsoku/>
        <w:wordWrap/>
        <w:overflowPunct/>
        <w:topLinePunct/>
        <w:autoSpaceDE/>
        <w:autoSpaceDN/>
        <w:bidi w:val="0"/>
        <w:adjustRightInd w:val="0"/>
        <w:snapToGrid w:val="0"/>
        <w:spacing w:line="600" w:lineRule="exact"/>
        <w:textAlignment w:val="auto"/>
        <w:outlineLvl w:val="2"/>
        <w:rPr>
          <w:rFonts w:hint="eastAsia" w:ascii="宋体" w:hAnsi="宋体" w:eastAsia="宋体" w:cs="宋体"/>
          <w:b/>
          <w:bCs/>
          <w:sz w:val="28"/>
          <w:szCs w:val="28"/>
        </w:rPr>
      </w:pPr>
      <w:bookmarkStart w:id="166" w:name="_Toc15186"/>
      <w:bookmarkStart w:id="167" w:name="_Toc28204"/>
      <w:r>
        <w:rPr>
          <w:rFonts w:hint="eastAsia" w:ascii="宋体" w:hAnsi="宋体" w:eastAsia="宋体" w:cs="宋体"/>
          <w:b/>
          <w:bCs/>
          <w:sz w:val="28"/>
          <w:szCs w:val="28"/>
          <w:lang w:val="en-US" w:eastAsia="zh-CN"/>
        </w:rPr>
        <w:t>3.</w:t>
      </w:r>
      <w:r>
        <w:rPr>
          <w:rFonts w:hint="eastAsia" w:hAnsi="宋体" w:cs="宋体"/>
          <w:b/>
          <w:bCs/>
          <w:sz w:val="28"/>
          <w:szCs w:val="28"/>
          <w:lang w:val="en-US" w:eastAsia="zh-CN"/>
        </w:rPr>
        <w:t>8</w:t>
      </w:r>
      <w:r>
        <w:rPr>
          <w:rFonts w:hint="eastAsia" w:ascii="宋体" w:hAnsi="宋体" w:eastAsia="宋体" w:cs="宋体"/>
          <w:b/>
          <w:bCs/>
          <w:sz w:val="28"/>
          <w:szCs w:val="28"/>
          <w:lang w:val="en-US" w:eastAsia="zh-CN"/>
        </w:rPr>
        <w:t>.1</w:t>
      </w:r>
      <w:r>
        <w:rPr>
          <w:rFonts w:hint="eastAsia" w:ascii="宋体" w:hAnsi="宋体" w:eastAsia="宋体" w:cs="宋体"/>
          <w:b/>
          <w:bCs/>
          <w:sz w:val="28"/>
          <w:szCs w:val="28"/>
        </w:rPr>
        <w:t>重大危险源辨识方法</w:t>
      </w:r>
      <w:bookmarkEnd w:id="157"/>
      <w:bookmarkEnd w:id="158"/>
      <w:bookmarkEnd w:id="159"/>
      <w:bookmarkEnd w:id="160"/>
      <w:bookmarkEnd w:id="161"/>
      <w:bookmarkEnd w:id="162"/>
      <w:bookmarkEnd w:id="163"/>
      <w:bookmarkEnd w:id="164"/>
      <w:bookmarkEnd w:id="165"/>
      <w:bookmarkEnd w:id="166"/>
      <w:bookmarkEnd w:id="167"/>
    </w:p>
    <w:p w14:paraId="6F19D9F8">
      <w:pPr>
        <w:keepNext w:val="0"/>
        <w:keepLines w:val="0"/>
        <w:pageBreakBefore w:val="0"/>
        <w:widowControl w:val="0"/>
        <w:kinsoku/>
        <w:wordWrap/>
        <w:overflowPunct/>
        <w:topLinePunct/>
        <w:autoSpaceDE/>
        <w:autoSpaceDN/>
        <w:bidi w:val="0"/>
        <w:adjustRightInd w:val="0"/>
        <w:snapToGri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按照《危险化学品重大危险源辨识》（GB18218-2018）的规定，对比本项目各主要生产工序涉及的危险化学品重大危险源临界量标准进行重大危险源辨识。</w:t>
      </w:r>
    </w:p>
    <w:p w14:paraId="7A92EDA9">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（1）单元：涉及危险化学品的生产、储存装置、设施或场所，分为生产单元和储存单元。</w:t>
      </w:r>
    </w:p>
    <w:p w14:paraId="7E5A3ADE">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（2）临界量：某种或某类危险化学品构成重大危险源所规定的最小数量。</w:t>
      </w:r>
    </w:p>
    <w:p w14:paraId="59AF80CA">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（3）危险化学品重大危险源：长期地或临时地生产、储存、使用和经营危险化学品，且危险化学品的数量等于或超过临界量的单元。</w:t>
      </w:r>
    </w:p>
    <w:p w14:paraId="4E8AB9DE">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（4）生产单元：危险化学品的生产、加工及使用等的装置及设施，当装置及设施之间有切断阀时，以切断阀作为分隔界限划分为独立的单元。</w:t>
      </w:r>
    </w:p>
    <w:p w14:paraId="546B8020">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（5）储存单元：用于储存危险化学品的储罐或仓库组成的相对独立的区域，储罐区以罐区防火堤为界限划分为独立的单元，仓库以独立库房（独立建筑物）为界限划分为独立的单元。</w:t>
      </w:r>
    </w:p>
    <w:p w14:paraId="2459AC35">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生产单元、储存单元内存在危险化学品的数最等于或超过</w:t>
      </w:r>
      <w:r>
        <w:rPr>
          <w:rFonts w:hint="eastAsia" w:ascii="宋体" w:hAnsi="宋体" w:eastAsia="宋体" w:cs="宋体"/>
          <w:b w:val="0"/>
          <w:bCs w:val="0"/>
          <w:kern w:val="0"/>
          <w:sz w:val="28"/>
          <w:szCs w:val="28"/>
        </w:rPr>
        <w:t>《危险化学品重大危险源辨识》（GB18218-2018）</w:t>
      </w:r>
      <w:r>
        <w:rPr>
          <w:rFonts w:hint="eastAsia" w:ascii="宋体" w:hAnsi="宋体" w:eastAsia="宋体" w:cs="宋体"/>
          <w:b w:val="0"/>
          <w:bCs w:val="0"/>
          <w:color w:val="000000"/>
          <w:kern w:val="0"/>
          <w:sz w:val="28"/>
          <w:szCs w:val="28"/>
        </w:rPr>
        <w:t>中表1、表2规定的临界量，即被定为重大危险源。单元内存在的危险化学品的数量根据危险化学品种类的多少区分为以下两种情况：</w:t>
      </w:r>
    </w:p>
    <w:p w14:paraId="48095A71">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a）生产单元、储存单元内存在的危险化学品为单一品种时，该危险化学品的数量即为单元内危险化学品的总量，若等于或超过相应的临界量，则定为重大危险源。</w:t>
      </w:r>
    </w:p>
    <w:p w14:paraId="16AC48F7">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b）生产单元、储存单元内存在的危险化学品为多品种时，按式（1）计算，若满足式（1）则定为重大危险源：</w:t>
      </w:r>
    </w:p>
    <w:p w14:paraId="5107076E">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S=q1/Q1+q2/Q2+…+  qn/Qn≥1…………………（1）</w:t>
      </w:r>
    </w:p>
    <w:p w14:paraId="045D793E">
      <w:pPr>
        <w:keepNext w:val="0"/>
        <w:keepLines w:val="0"/>
        <w:pageBreakBefore w:val="0"/>
        <w:widowControl w:val="0"/>
        <w:kinsoku/>
        <w:wordWrap/>
        <w:overflowPunct/>
        <w:topLinePunct/>
        <w:autoSpaceDE/>
        <w:autoSpaceDN/>
        <w:bidi w:val="0"/>
        <w:adjustRightInd w:val="0"/>
        <w:snapToGrid/>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color w:val="000000"/>
          <w:sz w:val="28"/>
          <w:szCs w:val="28"/>
        </w:rPr>
        <w:t>式中：S ——辨识指标；</w:t>
      </w:r>
    </w:p>
    <w:p w14:paraId="76E1286C">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q1，q2，…，qn    －每种危险化学品的实际存在量，单位为吨（t）；</w:t>
      </w:r>
    </w:p>
    <w:p w14:paraId="6DAC81E2">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color w:val="000000"/>
          <w:kern w:val="0"/>
          <w:sz w:val="28"/>
          <w:szCs w:val="28"/>
        </w:rPr>
      </w:pPr>
      <w:r>
        <w:rPr>
          <w:rFonts w:hint="eastAsia" w:ascii="宋体" w:hAnsi="宋体" w:eastAsia="宋体" w:cs="宋体"/>
          <w:b w:val="0"/>
          <w:bCs w:val="0"/>
          <w:color w:val="000000"/>
          <w:kern w:val="0"/>
          <w:sz w:val="28"/>
          <w:szCs w:val="28"/>
        </w:rPr>
        <w:t>Q1，Q2，…，Qn   －与每种危险化学品相对应的临界量，单位为吨（t）。</w:t>
      </w:r>
    </w:p>
    <w:p w14:paraId="7A21EDFF">
      <w:pPr>
        <w:keepNext w:val="0"/>
        <w:keepLines w:val="0"/>
        <w:pageBreakBefore w:val="0"/>
        <w:kinsoku/>
        <w:wordWrap/>
        <w:overflowPunct/>
        <w:topLinePunct w:val="0"/>
        <w:autoSpaceDE w:val="0"/>
        <w:autoSpaceDN w:val="0"/>
        <w:bidi w:val="0"/>
        <w:adjustRightInd w:val="0"/>
        <w:spacing w:line="600" w:lineRule="exact"/>
        <w:ind w:firstLine="560" w:firstLineChars="200"/>
        <w:jc w:val="left"/>
        <w:textAlignment w:val="auto"/>
        <w:rPr>
          <w:rFonts w:hint="eastAsia" w:ascii="宋体" w:hAnsi="宋体" w:eastAsia="宋体" w:cs="宋体"/>
          <w:b w:val="0"/>
          <w:bCs w:val="0"/>
          <w:kern w:val="0"/>
          <w:sz w:val="28"/>
          <w:szCs w:val="28"/>
        </w:rPr>
      </w:pPr>
      <w:r>
        <w:rPr>
          <w:rFonts w:hint="eastAsia" w:ascii="宋体" w:hAnsi="宋体" w:eastAsia="宋体" w:cs="宋体"/>
          <w:b w:val="0"/>
          <w:bCs w:val="0"/>
          <w:kern w:val="0"/>
          <w:sz w:val="28"/>
          <w:szCs w:val="28"/>
        </w:rPr>
        <w:t>1、单元划分</w:t>
      </w:r>
    </w:p>
    <w:p w14:paraId="31C2AEDF">
      <w:pPr>
        <w:keepNext w:val="0"/>
        <w:keepLines w:val="0"/>
        <w:pageBreakBefore w:val="0"/>
        <w:kinsoku/>
        <w:wordWrap/>
        <w:overflowPunct/>
        <w:topLinePunct w:val="0"/>
        <w:autoSpaceDE w:val="0"/>
        <w:autoSpaceDN w:val="0"/>
        <w:bidi w:val="0"/>
        <w:adjustRightInd w:val="0"/>
        <w:spacing w:line="600" w:lineRule="exact"/>
        <w:ind w:firstLine="560" w:firstLineChars="200"/>
        <w:jc w:val="left"/>
        <w:textAlignment w:val="auto"/>
        <w:rPr>
          <w:rFonts w:hint="eastAsia" w:ascii="宋体" w:hAnsi="宋体" w:eastAsia="宋体" w:cs="宋体"/>
          <w:b w:val="0"/>
          <w:bCs w:val="0"/>
          <w:sz w:val="28"/>
          <w:szCs w:val="28"/>
        </w:rPr>
      </w:pPr>
      <w:r>
        <w:rPr>
          <w:rFonts w:hint="eastAsia" w:ascii="宋体" w:hAnsi="宋体" w:eastAsia="宋体" w:cs="宋体"/>
          <w:b w:val="0"/>
          <w:bCs w:val="0"/>
          <w:kern w:val="0"/>
          <w:sz w:val="28"/>
          <w:szCs w:val="28"/>
        </w:rPr>
        <w:t>依据《</w:t>
      </w:r>
      <w:bookmarkStart w:id="168" w:name="_Hlk36471703"/>
      <w:r>
        <w:rPr>
          <w:rFonts w:hint="eastAsia" w:ascii="宋体" w:hAnsi="宋体" w:eastAsia="宋体" w:cs="宋体"/>
          <w:b w:val="0"/>
          <w:bCs w:val="0"/>
          <w:kern w:val="0"/>
          <w:sz w:val="28"/>
          <w:szCs w:val="28"/>
        </w:rPr>
        <w:t>危险化学品重大危险源辨识</w:t>
      </w:r>
      <w:bookmarkEnd w:id="168"/>
      <w:r>
        <w:rPr>
          <w:rFonts w:hint="eastAsia" w:ascii="宋体" w:hAnsi="宋体" w:eastAsia="宋体" w:cs="宋体"/>
          <w:b w:val="0"/>
          <w:bCs w:val="0"/>
          <w:kern w:val="0"/>
          <w:sz w:val="28"/>
          <w:szCs w:val="28"/>
        </w:rPr>
        <w:t>》（GB18218-2018），</w:t>
      </w:r>
      <w:r>
        <w:rPr>
          <w:rFonts w:hint="eastAsia" w:ascii="宋体" w:hAnsi="宋体" w:eastAsia="宋体" w:cs="宋体"/>
          <w:b w:val="0"/>
          <w:bCs w:val="0"/>
          <w:sz w:val="28"/>
          <w:szCs w:val="28"/>
        </w:rPr>
        <w:t>本项目中</w:t>
      </w:r>
      <w:r>
        <w:rPr>
          <w:rFonts w:hint="eastAsia" w:ascii="宋体" w:hAnsi="宋体" w:eastAsia="宋体" w:cs="宋体"/>
          <w:b w:val="0"/>
          <w:bCs w:val="0"/>
          <w:sz w:val="28"/>
          <w:szCs w:val="28"/>
          <w:lang w:val="en-US" w:eastAsia="zh-CN"/>
        </w:rPr>
        <w:t>未</w:t>
      </w:r>
      <w:r>
        <w:rPr>
          <w:rFonts w:hint="eastAsia" w:ascii="宋体" w:hAnsi="宋体" w:eastAsia="宋体" w:cs="宋体"/>
          <w:b w:val="0"/>
          <w:bCs w:val="0"/>
          <w:sz w:val="28"/>
          <w:szCs w:val="28"/>
        </w:rPr>
        <w:t>涉及</w:t>
      </w:r>
      <w:r>
        <w:rPr>
          <w:rFonts w:hint="eastAsia" w:ascii="宋体" w:hAnsi="宋体" w:eastAsia="宋体" w:cs="宋体"/>
          <w:b w:val="0"/>
          <w:bCs w:val="0"/>
          <w:sz w:val="28"/>
          <w:szCs w:val="28"/>
          <w:lang w:val="en-US" w:eastAsia="zh-CN"/>
        </w:rPr>
        <w:t>使用</w:t>
      </w:r>
      <w:r>
        <w:rPr>
          <w:rFonts w:hint="eastAsia" w:ascii="宋体" w:hAnsi="宋体" w:eastAsia="宋体" w:cs="宋体"/>
          <w:b w:val="0"/>
          <w:bCs w:val="0"/>
          <w:sz w:val="28"/>
          <w:szCs w:val="28"/>
        </w:rPr>
        <w:t>构成重大危险源的危险化学品</w:t>
      </w:r>
      <w:r>
        <w:rPr>
          <w:rFonts w:hint="eastAsia" w:ascii="宋体" w:hAnsi="宋体" w:eastAsia="宋体" w:cs="宋体"/>
          <w:b w:val="0"/>
          <w:bCs w:val="0"/>
          <w:sz w:val="28"/>
          <w:szCs w:val="28"/>
          <w:lang w:eastAsia="zh-CN"/>
        </w:rPr>
        <w:t>。</w:t>
      </w:r>
    </w:p>
    <w:p w14:paraId="32460AB8">
      <w:pPr>
        <w:keepNext w:val="0"/>
        <w:keepLines w:val="0"/>
        <w:pageBreakBefore w:val="0"/>
        <w:widowControl/>
        <w:kinsoku/>
        <w:wordWrap/>
        <w:overflowPunct/>
        <w:topLinePunct w:val="0"/>
        <w:bidi w:val="0"/>
        <w:spacing w:line="600" w:lineRule="exact"/>
        <w:ind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lang w:val="en-US" w:eastAsia="zh-CN"/>
        </w:rPr>
        <w:t>2</w:t>
      </w:r>
      <w:r>
        <w:rPr>
          <w:rFonts w:hint="eastAsia" w:ascii="宋体" w:hAnsi="宋体" w:eastAsia="宋体" w:cs="宋体"/>
          <w:b w:val="0"/>
          <w:bCs w:val="0"/>
          <w:sz w:val="28"/>
          <w:szCs w:val="28"/>
        </w:rPr>
        <w:t>、辨识结论</w:t>
      </w:r>
    </w:p>
    <w:p w14:paraId="6B788A98">
      <w:pPr>
        <w:pStyle w:val="5"/>
        <w:keepNext w:val="0"/>
        <w:keepLines w:val="0"/>
        <w:pageBreakBefore w:val="0"/>
        <w:kinsoku/>
        <w:wordWrap/>
        <w:overflowPunct/>
        <w:topLinePunct w:val="0"/>
        <w:bidi w:val="0"/>
        <w:adjustRightInd w:val="0"/>
        <w:spacing w:line="600" w:lineRule="exact"/>
        <w:ind w:firstLine="560" w:firstLineChars="200"/>
        <w:textAlignment w:val="auto"/>
        <w:rPr>
          <w:rFonts w:hint="eastAsia" w:ascii="宋体" w:hAnsi="宋体" w:eastAsia="宋体" w:cs="宋体"/>
          <w:b w:val="0"/>
          <w:bCs w:val="0"/>
          <w:sz w:val="28"/>
          <w:szCs w:val="28"/>
        </w:rPr>
      </w:pPr>
      <w:r>
        <w:rPr>
          <w:rFonts w:hint="eastAsia" w:ascii="宋体" w:hAnsi="宋体" w:eastAsia="宋体" w:cs="宋体"/>
          <w:b w:val="0"/>
          <w:bCs w:val="0"/>
          <w:sz w:val="28"/>
          <w:szCs w:val="28"/>
          <w:lang w:val="zh-CN"/>
        </w:rPr>
        <w:t>根据《危险化学品重大危险源辨识》（</w:t>
      </w:r>
      <w:r>
        <w:rPr>
          <w:rFonts w:hint="eastAsia" w:ascii="宋体" w:hAnsi="宋体" w:eastAsia="宋体" w:cs="宋体"/>
          <w:b w:val="0"/>
          <w:bCs w:val="0"/>
          <w:sz w:val="28"/>
          <w:szCs w:val="28"/>
        </w:rPr>
        <w:t>GB18218-2018</w:t>
      </w:r>
      <w:r>
        <w:rPr>
          <w:rFonts w:hint="eastAsia" w:ascii="宋体" w:hAnsi="宋体" w:eastAsia="宋体" w:cs="宋体"/>
          <w:b w:val="0"/>
          <w:bCs w:val="0"/>
          <w:sz w:val="28"/>
          <w:szCs w:val="28"/>
          <w:lang w:val="zh-CN"/>
        </w:rPr>
        <w:t>）辨识，</w:t>
      </w:r>
      <w:r>
        <w:rPr>
          <w:rFonts w:hint="eastAsia"/>
          <w:sz w:val="28"/>
          <w:szCs w:val="28"/>
        </w:rPr>
        <w:t>云南高机精密数控机床有限公司</w:t>
      </w:r>
      <w:r>
        <w:rPr>
          <w:rFonts w:hint="eastAsia" w:ascii="宋体" w:hAnsi="宋体" w:eastAsia="宋体" w:cs="宋体"/>
          <w:b w:val="0"/>
          <w:bCs w:val="0"/>
          <w:sz w:val="28"/>
          <w:szCs w:val="28"/>
        </w:rPr>
        <w:t>项目</w:t>
      </w:r>
      <w:r>
        <w:rPr>
          <w:rFonts w:hint="eastAsia" w:ascii="宋体" w:hAnsi="宋体" w:eastAsia="宋体" w:cs="宋体"/>
          <w:b w:val="0"/>
          <w:bCs w:val="0"/>
          <w:sz w:val="28"/>
          <w:szCs w:val="28"/>
          <w:lang w:val="en-US" w:eastAsia="zh-CN"/>
        </w:rPr>
        <w:t>未涉及使用构成重大危险源的危险化学品，故</w:t>
      </w:r>
      <w:r>
        <w:rPr>
          <w:rFonts w:hint="eastAsia" w:ascii="宋体" w:hAnsi="宋体" w:eastAsia="宋体" w:cs="宋体"/>
          <w:b w:val="0"/>
          <w:bCs w:val="0"/>
          <w:sz w:val="28"/>
          <w:szCs w:val="28"/>
        </w:rPr>
        <w:t>不构成危险化学品重大危险源。</w:t>
      </w:r>
    </w:p>
    <w:p w14:paraId="4019334A">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rPr>
      </w:pPr>
    </w:p>
    <w:p w14:paraId="0C393DE1">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i w:val="0"/>
          <w:iCs w:val="0"/>
          <w:caps w:val="0"/>
          <w:color w:val="333333"/>
          <w:spacing w:val="0"/>
          <w:sz w:val="28"/>
          <w:szCs w:val="28"/>
          <w:shd w:val="clear" w:fill="FFFFFF"/>
        </w:rPr>
      </w:pPr>
    </w:p>
    <w:p w14:paraId="0D8D7911">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i w:val="0"/>
          <w:iCs w:val="0"/>
          <w:caps w:val="0"/>
          <w:color w:val="333333"/>
          <w:spacing w:val="0"/>
          <w:sz w:val="28"/>
          <w:szCs w:val="28"/>
          <w:shd w:val="clear" w:fill="FFFFFF"/>
        </w:rPr>
      </w:pPr>
    </w:p>
    <w:p w14:paraId="2C078A0E">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622A0476">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329A4C0B">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701267D4">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1CBE6DE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351641DC">
      <w:pPr>
        <w:keepNext w:val="0"/>
        <w:keepLines w:val="0"/>
        <w:widowControl/>
        <w:suppressLineNumbers w:val="0"/>
        <w:jc w:val="center"/>
        <w:outlineLvl w:val="9"/>
        <w:rPr>
          <w:rFonts w:hint="eastAsia" w:ascii="宋体" w:hAnsi="宋体" w:eastAsia="宋体" w:cs="宋体"/>
          <w:b/>
          <w:bCs/>
          <w:color w:val="000000"/>
          <w:kern w:val="0"/>
          <w:sz w:val="36"/>
          <w:szCs w:val="36"/>
          <w:lang w:val="en-US" w:eastAsia="zh-CN" w:bidi="ar"/>
        </w:rPr>
      </w:pPr>
      <w:bookmarkStart w:id="169" w:name="_Toc27044"/>
    </w:p>
    <w:p w14:paraId="6CC63E73">
      <w:pPr>
        <w:keepNext w:val="0"/>
        <w:keepLines w:val="0"/>
        <w:widowControl/>
        <w:suppressLineNumbers w:val="0"/>
        <w:jc w:val="center"/>
        <w:outlineLvl w:val="9"/>
        <w:rPr>
          <w:rFonts w:hint="eastAsia" w:ascii="宋体" w:hAnsi="宋体" w:eastAsia="宋体" w:cs="宋体"/>
          <w:b/>
          <w:bCs/>
          <w:color w:val="000000"/>
          <w:kern w:val="0"/>
          <w:sz w:val="36"/>
          <w:szCs w:val="36"/>
          <w:lang w:val="en-US" w:eastAsia="zh-CN" w:bidi="ar"/>
        </w:rPr>
      </w:pPr>
    </w:p>
    <w:p w14:paraId="0451B831">
      <w:pPr>
        <w:keepNext w:val="0"/>
        <w:keepLines w:val="0"/>
        <w:widowControl/>
        <w:suppressLineNumbers w:val="0"/>
        <w:jc w:val="center"/>
        <w:outlineLvl w:val="9"/>
        <w:rPr>
          <w:rFonts w:hint="eastAsia" w:ascii="宋体" w:hAnsi="宋体" w:eastAsia="宋体" w:cs="宋体"/>
          <w:b/>
          <w:bCs/>
          <w:color w:val="000000"/>
          <w:kern w:val="0"/>
          <w:sz w:val="36"/>
          <w:szCs w:val="36"/>
          <w:lang w:val="en-US" w:eastAsia="zh-CN" w:bidi="ar"/>
        </w:rPr>
      </w:pPr>
    </w:p>
    <w:p w14:paraId="6877C9C7">
      <w:pPr>
        <w:keepNext w:val="0"/>
        <w:keepLines w:val="0"/>
        <w:widowControl/>
        <w:suppressLineNumbers w:val="0"/>
        <w:jc w:val="both"/>
        <w:outlineLvl w:val="9"/>
        <w:rPr>
          <w:rFonts w:hint="eastAsia" w:ascii="宋体" w:hAnsi="宋体" w:eastAsia="宋体" w:cs="宋体"/>
          <w:b/>
          <w:bCs/>
          <w:color w:val="000000"/>
          <w:kern w:val="0"/>
          <w:sz w:val="36"/>
          <w:szCs w:val="36"/>
          <w:lang w:val="en-US" w:eastAsia="zh-CN" w:bidi="ar"/>
        </w:rPr>
      </w:pPr>
    </w:p>
    <w:p w14:paraId="4249184D">
      <w:pPr>
        <w:keepNext w:val="0"/>
        <w:keepLines w:val="0"/>
        <w:widowControl/>
        <w:suppressLineNumbers w:val="0"/>
        <w:jc w:val="center"/>
        <w:outlineLvl w:val="0"/>
        <w:rPr>
          <w:rFonts w:hint="eastAsia" w:ascii="宋体" w:hAnsi="宋体" w:eastAsia="宋体" w:cs="宋体"/>
          <w:sz w:val="36"/>
          <w:szCs w:val="36"/>
        </w:rPr>
      </w:pPr>
      <w:bookmarkStart w:id="170" w:name="_Toc8678"/>
      <w:r>
        <w:rPr>
          <w:rFonts w:hint="eastAsia" w:ascii="宋体" w:hAnsi="宋体" w:eastAsia="宋体" w:cs="宋体"/>
          <w:b/>
          <w:bCs/>
          <w:color w:val="000000"/>
          <w:kern w:val="0"/>
          <w:sz w:val="36"/>
          <w:szCs w:val="36"/>
          <w:lang w:val="en-US" w:eastAsia="zh-CN" w:bidi="ar"/>
        </w:rPr>
        <w:t>第 4 章 评价单元的划分和评价方法的选择</w:t>
      </w:r>
      <w:bookmarkEnd w:id="169"/>
      <w:bookmarkEnd w:id="170"/>
    </w:p>
    <w:p w14:paraId="3FF861B3">
      <w:pPr>
        <w:keepNext w:val="0"/>
        <w:keepLines w:val="0"/>
        <w:pageBreakBefore w:val="0"/>
        <w:widowControl w:val="0"/>
        <w:suppressLineNumbers w:val="0"/>
        <w:kinsoku w:val="0"/>
        <w:wordWrap/>
        <w:overflowPunct w:val="0"/>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71" w:name="_Toc29748"/>
      <w:bookmarkStart w:id="172" w:name="_Toc7083"/>
      <w:r>
        <w:rPr>
          <w:rFonts w:hint="eastAsia" w:ascii="宋体" w:hAnsi="宋体" w:eastAsia="宋体" w:cs="宋体"/>
          <w:b/>
          <w:bCs/>
          <w:color w:val="000000"/>
          <w:kern w:val="0"/>
          <w:sz w:val="30"/>
          <w:szCs w:val="30"/>
          <w:lang w:val="en-US" w:eastAsia="zh-CN" w:bidi="ar"/>
        </w:rPr>
        <w:t>4.1 评价单元的划分</w:t>
      </w:r>
      <w:bookmarkEnd w:id="171"/>
      <w:bookmarkEnd w:id="172"/>
      <w:r>
        <w:rPr>
          <w:rFonts w:hint="eastAsia" w:ascii="宋体" w:hAnsi="宋体" w:eastAsia="宋体" w:cs="宋体"/>
          <w:b/>
          <w:bCs/>
          <w:color w:val="000000"/>
          <w:kern w:val="0"/>
          <w:sz w:val="30"/>
          <w:szCs w:val="30"/>
          <w:lang w:val="en-US" w:eastAsia="zh-CN" w:bidi="ar"/>
        </w:rPr>
        <w:t xml:space="preserve"> </w:t>
      </w:r>
    </w:p>
    <w:p w14:paraId="25F09B20">
      <w:pPr>
        <w:keepNext w:val="0"/>
        <w:keepLines w:val="0"/>
        <w:pageBreakBefore w:val="0"/>
        <w:widowControl w:val="0"/>
        <w:suppressLineNumbers w:val="0"/>
        <w:kinsoku w:val="0"/>
        <w:wordWrap/>
        <w:overflowPunct w:val="0"/>
        <w:topLinePunct w:val="0"/>
        <w:autoSpaceDE/>
        <w:autoSpaceDN/>
        <w:bidi w:val="0"/>
        <w:adjustRightInd/>
        <w:snapToGrid/>
        <w:spacing w:line="600" w:lineRule="exact"/>
        <w:jc w:val="left"/>
        <w:textAlignment w:val="auto"/>
        <w:outlineLvl w:val="2"/>
        <w:rPr>
          <w:sz w:val="28"/>
          <w:szCs w:val="28"/>
        </w:rPr>
      </w:pPr>
      <w:bookmarkStart w:id="173" w:name="_Toc27298"/>
      <w:bookmarkStart w:id="174" w:name="_Toc31605"/>
      <w:r>
        <w:rPr>
          <w:rFonts w:hint="eastAsia" w:ascii="宋体" w:hAnsi="宋体" w:eastAsia="宋体" w:cs="宋体"/>
          <w:b/>
          <w:bCs/>
          <w:color w:val="000000"/>
          <w:kern w:val="0"/>
          <w:sz w:val="28"/>
          <w:szCs w:val="28"/>
          <w:lang w:val="en-US" w:eastAsia="zh-CN" w:bidi="ar"/>
        </w:rPr>
        <w:t>4.1.1 评价单元划分的原则</w:t>
      </w:r>
      <w:bookmarkEnd w:id="173"/>
      <w:bookmarkEnd w:id="174"/>
      <w:r>
        <w:rPr>
          <w:rFonts w:hint="eastAsia" w:ascii="宋体" w:hAnsi="宋体" w:eastAsia="宋体" w:cs="宋体"/>
          <w:b/>
          <w:bCs/>
          <w:color w:val="000000"/>
          <w:kern w:val="0"/>
          <w:sz w:val="28"/>
          <w:szCs w:val="28"/>
          <w:lang w:val="en-US" w:eastAsia="zh-CN" w:bidi="ar"/>
        </w:rPr>
        <w:t xml:space="preserve"> </w:t>
      </w:r>
    </w:p>
    <w:p w14:paraId="4EABC99F">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评价单元划分要便于评价工作的进行，有利于提高评价工作的准确性。评价单元的划分，一般将生产工艺、工艺装置、物料的特点和特征与危险有害因素的类别、分布有机结合进行划分，还可以按评价的需要将一个评价单元再划分为若干子评价单元或更细致的单元。本报告评价单元的确定。 </w:t>
      </w:r>
    </w:p>
    <w:p w14:paraId="28DCEFF4">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1、评价单元划分的分析过程 </w:t>
      </w:r>
    </w:p>
    <w:p w14:paraId="4979464D">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pPr>
      <w:r>
        <w:rPr>
          <w:rFonts w:hint="eastAsia" w:ascii="宋体" w:hAnsi="宋体" w:eastAsia="宋体" w:cs="宋体"/>
          <w:color w:val="000000"/>
          <w:kern w:val="0"/>
          <w:sz w:val="28"/>
          <w:szCs w:val="28"/>
          <w:lang w:val="en-US" w:eastAsia="zh-CN" w:bidi="ar"/>
        </w:rPr>
        <w:t xml:space="preserve">常用的评价单元划分方法有： </w:t>
      </w:r>
    </w:p>
    <w:p w14:paraId="0943FE07">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（1）以危险、有害因素的类别为主划分评价单元。 </w:t>
      </w:r>
    </w:p>
    <w:p w14:paraId="36125FA0">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1）对工艺方案、总体布置及自然条件、环境对系统影响等综合方面的危险、有害因素的分析和评价，可将整个系统作为一个评价单元； </w:t>
      </w:r>
    </w:p>
    <w:p w14:paraId="2A90D84A">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2）将具有共性危险因素、有害因素的场所和装置划为一个单元。 </w:t>
      </w:r>
    </w:p>
    <w:p w14:paraId="1B705550">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（2）以装置和物质特征划分评价单元。 </w:t>
      </w:r>
    </w:p>
    <w:p w14:paraId="069F15B0">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1）按装置工艺功能划分； </w:t>
      </w:r>
    </w:p>
    <w:p w14:paraId="625276D0">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2）按布置的相对独立性划分； </w:t>
      </w:r>
    </w:p>
    <w:p w14:paraId="0C044246">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3）按工艺条件划分评价单元； </w:t>
      </w:r>
    </w:p>
    <w:p w14:paraId="2A67AA77">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4）按贮存、处理危险物品的潜在化学性能、毒性和危险物品的数量划分评价单元； </w:t>
      </w:r>
    </w:p>
    <w:p w14:paraId="2E18330A">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5）根据以往事故资料，将发生事故能导致停产、波及范围大、造成巨大损失和伤害的关键设备作为一个单元； </w:t>
      </w:r>
    </w:p>
    <w:p w14:paraId="19C184DB">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6）将危险性大且资金密度大的区域作为一个评价单元；</w:t>
      </w:r>
    </w:p>
    <w:p w14:paraId="46DE0509">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7）将危险性特别大的区域、装置作为一个评价单元； </w:t>
      </w:r>
    </w:p>
    <w:p w14:paraId="4A1CE504">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8）将具有类似危险性潜能的单元合并为一个大单元。 </w:t>
      </w:r>
    </w:p>
    <w:p w14:paraId="7091934F">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根据上述方法，结合本项目的生产实际情况和危险、有害因素的诱因及可能存在的部位，进行评价单元的划分。</w:t>
      </w:r>
    </w:p>
    <w:p w14:paraId="6294D23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sz w:val="28"/>
          <w:szCs w:val="28"/>
        </w:rPr>
      </w:pPr>
      <w:r>
        <w:rPr>
          <w:rFonts w:hint="eastAsia" w:ascii="宋体" w:hAnsi="宋体" w:eastAsia="宋体" w:cs="宋体"/>
          <w:color w:val="000000"/>
          <w:kern w:val="0"/>
          <w:sz w:val="28"/>
          <w:szCs w:val="28"/>
          <w:lang w:val="en-US" w:eastAsia="zh-CN" w:bidi="ar"/>
        </w:rPr>
        <w:t xml:space="preserve">2、评价单元的划分 </w:t>
      </w:r>
    </w:p>
    <w:p w14:paraId="071E812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outlineLvl w:val="9"/>
        <w:rPr>
          <w:sz w:val="28"/>
          <w:szCs w:val="28"/>
        </w:rPr>
      </w:pPr>
      <w:r>
        <w:rPr>
          <w:rFonts w:hint="eastAsia" w:ascii="宋体" w:hAnsi="宋体" w:eastAsia="宋体" w:cs="宋体"/>
          <w:color w:val="000000"/>
          <w:kern w:val="0"/>
          <w:sz w:val="28"/>
          <w:szCs w:val="28"/>
          <w:lang w:val="en-US" w:eastAsia="zh-CN" w:bidi="ar"/>
        </w:rPr>
        <w:t xml:space="preserve">本报告根据该企业生产工艺过程中危险、有害因素的性质和重要危险、有害因素的分布等情况，见评价单元划分表 4-1。 </w:t>
      </w:r>
    </w:p>
    <w:tbl>
      <w:tblPr>
        <w:tblStyle w:val="17"/>
        <w:tblpPr w:leftFromText="180" w:rightFromText="180" w:vertAnchor="text" w:horzAnchor="page" w:tblpXSpec="center" w:tblpY="257"/>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738"/>
        <w:gridCol w:w="4846"/>
      </w:tblGrid>
      <w:tr w14:paraId="740B85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7" w:type="dxa"/>
            <w:vAlign w:val="center"/>
          </w:tcPr>
          <w:p w14:paraId="19C24A68">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序号</w:t>
            </w:r>
          </w:p>
        </w:tc>
        <w:tc>
          <w:tcPr>
            <w:tcW w:w="3510" w:type="dxa"/>
            <w:vAlign w:val="center"/>
          </w:tcPr>
          <w:p w14:paraId="4075F367">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单元</w:t>
            </w:r>
          </w:p>
        </w:tc>
        <w:tc>
          <w:tcPr>
            <w:tcW w:w="4550" w:type="dxa"/>
            <w:vAlign w:val="center"/>
          </w:tcPr>
          <w:p w14:paraId="28DAD203">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子单元</w:t>
            </w:r>
          </w:p>
        </w:tc>
      </w:tr>
      <w:tr w14:paraId="425DD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67" w:type="dxa"/>
            <w:vAlign w:val="center"/>
          </w:tcPr>
          <w:p w14:paraId="2CBD37AE">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1</w:t>
            </w:r>
          </w:p>
        </w:tc>
        <w:tc>
          <w:tcPr>
            <w:tcW w:w="3510" w:type="dxa"/>
            <w:vAlign w:val="center"/>
          </w:tcPr>
          <w:p w14:paraId="232E38A4">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选址及总平面布置单元</w:t>
            </w:r>
          </w:p>
        </w:tc>
        <w:tc>
          <w:tcPr>
            <w:tcW w:w="4550" w:type="dxa"/>
            <w:vAlign w:val="center"/>
          </w:tcPr>
          <w:p w14:paraId="495B987B">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57DB13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767" w:type="dxa"/>
            <w:vAlign w:val="center"/>
          </w:tcPr>
          <w:p w14:paraId="62E97BA5">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2</w:t>
            </w:r>
          </w:p>
        </w:tc>
        <w:tc>
          <w:tcPr>
            <w:tcW w:w="3510" w:type="dxa"/>
            <w:vAlign w:val="center"/>
          </w:tcPr>
          <w:p w14:paraId="4528F625">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lang w:val="en-US" w:eastAsia="zh-CN" w:bidi="ar-SA"/>
              </w:rPr>
            </w:pPr>
            <w:r>
              <w:rPr>
                <w:rFonts w:hint="eastAsia" w:ascii="宋体" w:hAnsi="宋体" w:eastAsia="宋体" w:cs="宋体"/>
                <w:b w:val="0"/>
                <w:bCs w:val="0"/>
                <w:color w:val="000000"/>
                <w:kern w:val="0"/>
                <w:sz w:val="24"/>
                <w:szCs w:val="24"/>
                <w:lang w:val="en-US" w:eastAsia="zh-CN" w:bidi="ar"/>
              </w:rPr>
              <w:t>建（构）筑物单元</w:t>
            </w:r>
          </w:p>
        </w:tc>
        <w:tc>
          <w:tcPr>
            <w:tcW w:w="4550" w:type="dxa"/>
            <w:vAlign w:val="center"/>
          </w:tcPr>
          <w:p w14:paraId="7E1BADD0">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w:t>
            </w:r>
          </w:p>
        </w:tc>
      </w:tr>
      <w:tr w14:paraId="4041B0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67" w:type="dxa"/>
            <w:vAlign w:val="center"/>
          </w:tcPr>
          <w:p w14:paraId="7578B579">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sz w:val="24"/>
                <w:szCs w:val="24"/>
                <w:vertAlign w:val="baseline"/>
                <w:lang w:val="en-US" w:eastAsia="zh-CN"/>
              </w:rPr>
              <w:t>3</w:t>
            </w:r>
          </w:p>
        </w:tc>
        <w:tc>
          <w:tcPr>
            <w:tcW w:w="3510" w:type="dxa"/>
            <w:vAlign w:val="center"/>
          </w:tcPr>
          <w:p w14:paraId="31B15630">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color w:val="000000"/>
                <w:kern w:val="0"/>
                <w:sz w:val="24"/>
                <w:szCs w:val="24"/>
                <w:lang w:val="en-US" w:eastAsia="zh-CN" w:bidi="ar"/>
              </w:rPr>
              <w:t>生产工艺及设施设备单元</w:t>
            </w:r>
          </w:p>
        </w:tc>
        <w:tc>
          <w:tcPr>
            <w:tcW w:w="4550" w:type="dxa"/>
            <w:vAlign w:val="center"/>
          </w:tcPr>
          <w:p w14:paraId="12CB76D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color w:val="000000"/>
                <w:kern w:val="0"/>
                <w:sz w:val="24"/>
                <w:szCs w:val="24"/>
                <w:lang w:val="en-US" w:eastAsia="zh-CN" w:bidi="ar"/>
              </w:rPr>
              <w:t>精加工子单元、组装 装配子单元、涂油防护子单元、 特种设备子单元、</w:t>
            </w:r>
          </w:p>
        </w:tc>
      </w:tr>
      <w:tr w14:paraId="7A1C4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67" w:type="dxa"/>
            <w:vAlign w:val="center"/>
          </w:tcPr>
          <w:p w14:paraId="7BE663E8">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4</w:t>
            </w:r>
          </w:p>
        </w:tc>
        <w:tc>
          <w:tcPr>
            <w:tcW w:w="3510" w:type="dxa"/>
            <w:vAlign w:val="center"/>
          </w:tcPr>
          <w:p w14:paraId="703A628E">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color w:val="000000"/>
                <w:kern w:val="0"/>
                <w:sz w:val="24"/>
                <w:szCs w:val="24"/>
                <w:lang w:val="en-US" w:eastAsia="zh-CN" w:bidi="ar"/>
              </w:rPr>
              <w:t>公用工程和辅助设施单元</w:t>
            </w:r>
          </w:p>
        </w:tc>
        <w:tc>
          <w:tcPr>
            <w:tcW w:w="4550" w:type="dxa"/>
            <w:vAlign w:val="center"/>
          </w:tcPr>
          <w:p w14:paraId="5D2CD8FC">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b w:val="0"/>
                <w:bCs w:val="0"/>
                <w:sz w:val="24"/>
                <w:szCs w:val="24"/>
                <w:vertAlign w:val="baseline"/>
                <w:lang w:val="en-US" w:eastAsia="zh-CN"/>
              </w:rPr>
            </w:pPr>
            <w:r>
              <w:rPr>
                <w:rFonts w:hint="eastAsia" w:ascii="宋体" w:hAnsi="宋体" w:eastAsia="宋体" w:cs="宋体"/>
                <w:b w:val="0"/>
                <w:bCs w:val="0"/>
                <w:color w:val="000000"/>
                <w:kern w:val="0"/>
                <w:sz w:val="24"/>
                <w:szCs w:val="24"/>
                <w:lang w:val="en-US" w:eastAsia="zh-CN" w:bidi="ar"/>
              </w:rPr>
              <w:t>给排水子单元、供配电子单元、消防设施子单元、物料储存子单元</w:t>
            </w:r>
          </w:p>
        </w:tc>
      </w:tr>
      <w:tr w14:paraId="00576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767" w:type="dxa"/>
            <w:vAlign w:val="center"/>
          </w:tcPr>
          <w:p w14:paraId="64F6CC1F">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5</w:t>
            </w:r>
          </w:p>
        </w:tc>
        <w:tc>
          <w:tcPr>
            <w:tcW w:w="3510" w:type="dxa"/>
            <w:vAlign w:val="center"/>
          </w:tcPr>
          <w:p w14:paraId="50F5850C">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安全管理单元</w:t>
            </w:r>
          </w:p>
        </w:tc>
        <w:tc>
          <w:tcPr>
            <w:tcW w:w="4550" w:type="dxa"/>
            <w:vAlign w:val="center"/>
          </w:tcPr>
          <w:p w14:paraId="3022DD92">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r w14:paraId="3E26E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jc w:val="center"/>
        </w:trPr>
        <w:tc>
          <w:tcPr>
            <w:tcW w:w="767" w:type="dxa"/>
            <w:vAlign w:val="center"/>
          </w:tcPr>
          <w:p w14:paraId="3BCB456E">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6</w:t>
            </w:r>
          </w:p>
        </w:tc>
        <w:tc>
          <w:tcPr>
            <w:tcW w:w="3510" w:type="dxa"/>
            <w:vAlign w:val="center"/>
          </w:tcPr>
          <w:p w14:paraId="45CDF30B">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重大事故隐患检查单元</w:t>
            </w:r>
          </w:p>
        </w:tc>
        <w:tc>
          <w:tcPr>
            <w:tcW w:w="4550" w:type="dxa"/>
            <w:vAlign w:val="center"/>
          </w:tcPr>
          <w:p w14:paraId="74CC885C">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rPr>
            </w:pPr>
            <w:r>
              <w:rPr>
                <w:rFonts w:hint="eastAsia" w:ascii="宋体" w:hAnsi="宋体" w:eastAsia="宋体" w:cs="宋体"/>
                <w:sz w:val="24"/>
                <w:szCs w:val="24"/>
                <w:vertAlign w:val="baseline"/>
                <w:lang w:val="en-US" w:eastAsia="zh-CN"/>
              </w:rPr>
              <w:t>-</w:t>
            </w:r>
          </w:p>
        </w:tc>
      </w:tr>
    </w:tbl>
    <w:p w14:paraId="2952A9A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75" w:name="_Toc237"/>
      <w:bookmarkStart w:id="176" w:name="_Toc4346"/>
      <w:r>
        <w:rPr>
          <w:rFonts w:hint="eastAsia" w:ascii="宋体" w:hAnsi="宋体" w:eastAsia="宋体" w:cs="宋体"/>
          <w:b/>
          <w:bCs/>
          <w:color w:val="000000"/>
          <w:kern w:val="0"/>
          <w:sz w:val="28"/>
          <w:szCs w:val="28"/>
          <w:lang w:val="en-US" w:eastAsia="zh-CN" w:bidi="ar"/>
        </w:rPr>
        <w:t>4.1.2 评价单元的划分及理由说明</w:t>
      </w:r>
      <w:bookmarkEnd w:id="175"/>
      <w:bookmarkEnd w:id="176"/>
      <w:r>
        <w:rPr>
          <w:rFonts w:hint="eastAsia" w:ascii="宋体" w:hAnsi="宋体" w:eastAsia="宋体" w:cs="宋体"/>
          <w:b/>
          <w:bCs/>
          <w:color w:val="000000"/>
          <w:kern w:val="0"/>
          <w:sz w:val="28"/>
          <w:szCs w:val="28"/>
          <w:lang w:val="en-US" w:eastAsia="zh-CN" w:bidi="ar"/>
        </w:rPr>
        <w:t xml:space="preserve"> </w:t>
      </w:r>
    </w:p>
    <w:p w14:paraId="3F445CE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根据评价对象的实际情况，本项目以装置布置的相对独立性来划 </w:t>
      </w:r>
    </w:p>
    <w:p w14:paraId="4C4D66F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分评价单元。本次评价单元划分如下： </w:t>
      </w:r>
    </w:p>
    <w:p w14:paraId="16C59C9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themeColor="text1"/>
          <w:sz w:val="28"/>
          <w:szCs w:val="28"/>
          <w:shd w:val="clear" w:color="auto" w:fill="auto"/>
          <w14:textFill>
            <w14:solidFill>
              <w14:schemeClr w14:val="tx1"/>
            </w14:solidFill>
          </w14:textFill>
        </w:rPr>
      </w:pPr>
      <w:r>
        <w:rPr>
          <w:rFonts w:hint="eastAsia" w:ascii="宋体" w:hAnsi="宋体" w:eastAsia="宋体" w:cs="宋体"/>
          <w:color w:val="000000" w:themeColor="text1"/>
          <w:kern w:val="0"/>
          <w:sz w:val="28"/>
          <w:szCs w:val="28"/>
          <w:shd w:val="clear" w:color="auto" w:fill="auto"/>
          <w:lang w:val="en-US" w:eastAsia="zh-CN" w:bidi="ar"/>
          <w14:textFill>
            <w14:solidFill>
              <w14:schemeClr w14:val="tx1"/>
            </w14:solidFill>
          </w14:textFill>
        </w:rPr>
        <w:t xml:space="preserve">1.选址及总平面布置单元 </w:t>
      </w:r>
    </w:p>
    <w:p w14:paraId="0728B9B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themeColor="text1"/>
          <w:sz w:val="28"/>
          <w:szCs w:val="28"/>
          <w:shd w:val="clear" w:color="auto" w:fill="auto"/>
          <w14:textFill>
            <w14:solidFill>
              <w14:schemeClr w14:val="tx1"/>
            </w14:solidFill>
          </w14:textFill>
        </w:rPr>
      </w:pPr>
      <w:r>
        <w:rPr>
          <w:rFonts w:hint="eastAsia" w:ascii="宋体" w:hAnsi="宋体" w:eastAsia="宋体" w:cs="宋体"/>
          <w:color w:val="000000" w:themeColor="text1"/>
          <w:kern w:val="0"/>
          <w:sz w:val="28"/>
          <w:szCs w:val="28"/>
          <w:shd w:val="clear" w:color="auto" w:fill="auto"/>
          <w:lang w:val="en-US" w:eastAsia="zh-CN" w:bidi="ar"/>
          <w14:textFill>
            <w14:solidFill>
              <w14:schemeClr w14:val="tx1"/>
            </w14:solidFill>
          </w14:textFill>
        </w:rPr>
        <w:t>2.</w:t>
      </w:r>
      <w:r>
        <w:rPr>
          <w:rFonts w:hint="eastAsia" w:ascii="宋体" w:hAnsi="宋体" w:eastAsia="宋体" w:cs="宋体"/>
          <w:b w:val="0"/>
          <w:bCs w:val="0"/>
          <w:color w:val="000000" w:themeColor="text1"/>
          <w:kern w:val="0"/>
          <w:sz w:val="28"/>
          <w:szCs w:val="28"/>
          <w:shd w:val="clear" w:color="auto" w:fill="auto"/>
          <w:lang w:val="en-US" w:eastAsia="zh-CN" w:bidi="ar"/>
          <w14:textFill>
            <w14:solidFill>
              <w14:schemeClr w14:val="tx1"/>
            </w14:solidFill>
          </w14:textFill>
        </w:rPr>
        <w:t>建（构）筑物单元</w:t>
      </w:r>
    </w:p>
    <w:p w14:paraId="799C984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themeColor="text1"/>
          <w:sz w:val="28"/>
          <w:szCs w:val="28"/>
          <w:shd w:val="clear" w:color="auto" w:fill="auto"/>
          <w14:textFill>
            <w14:solidFill>
              <w14:schemeClr w14:val="tx1"/>
            </w14:solidFill>
          </w14:textFill>
        </w:rPr>
      </w:pPr>
      <w:r>
        <w:rPr>
          <w:rFonts w:hint="eastAsia" w:ascii="宋体" w:hAnsi="宋体" w:eastAsia="宋体" w:cs="宋体"/>
          <w:color w:val="000000" w:themeColor="text1"/>
          <w:kern w:val="0"/>
          <w:sz w:val="28"/>
          <w:szCs w:val="28"/>
          <w:shd w:val="clear" w:color="auto" w:fill="auto"/>
          <w:lang w:val="en-US" w:eastAsia="zh-CN" w:bidi="ar"/>
          <w14:textFill>
            <w14:solidFill>
              <w14:schemeClr w14:val="tx1"/>
            </w14:solidFill>
          </w14:textFill>
        </w:rPr>
        <w:t>3.</w:t>
      </w:r>
      <w:r>
        <w:rPr>
          <w:rFonts w:hint="eastAsia" w:ascii="宋体" w:hAnsi="宋体" w:eastAsia="宋体" w:cs="宋体"/>
          <w:b w:val="0"/>
          <w:bCs w:val="0"/>
          <w:color w:val="000000" w:themeColor="text1"/>
          <w:kern w:val="0"/>
          <w:sz w:val="28"/>
          <w:szCs w:val="28"/>
          <w:shd w:val="clear" w:color="auto" w:fill="auto"/>
          <w:lang w:val="en-US" w:eastAsia="zh-CN" w:bidi="ar"/>
          <w14:textFill>
            <w14:solidFill>
              <w14:schemeClr w14:val="tx1"/>
            </w14:solidFill>
          </w14:textFill>
        </w:rPr>
        <w:t>生产工艺及设施设备单元</w:t>
      </w:r>
    </w:p>
    <w:p w14:paraId="1E6B298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000000" w:themeColor="text1"/>
          <w:kern w:val="0"/>
          <w:sz w:val="28"/>
          <w:szCs w:val="28"/>
          <w:shd w:val="clear" w:color="auto" w:fill="auto"/>
          <w:lang w:val="en-US" w:eastAsia="zh-CN" w:bidi="ar"/>
          <w14:textFill>
            <w14:solidFill>
              <w14:schemeClr w14:val="tx1"/>
            </w14:solidFill>
          </w14:textFill>
        </w:rPr>
      </w:pPr>
      <w:r>
        <w:rPr>
          <w:rFonts w:hint="eastAsia" w:ascii="宋体" w:hAnsi="宋体" w:eastAsia="宋体" w:cs="宋体"/>
          <w:color w:val="000000" w:themeColor="text1"/>
          <w:kern w:val="0"/>
          <w:sz w:val="28"/>
          <w:szCs w:val="28"/>
          <w:shd w:val="clear" w:color="auto" w:fill="auto"/>
          <w:lang w:val="en-US" w:eastAsia="zh-CN" w:bidi="ar"/>
          <w14:textFill>
            <w14:solidFill>
              <w14:schemeClr w14:val="tx1"/>
            </w14:solidFill>
          </w14:textFill>
        </w:rPr>
        <w:t>4.</w:t>
      </w:r>
      <w:r>
        <w:rPr>
          <w:rFonts w:hint="eastAsia" w:ascii="宋体" w:hAnsi="宋体" w:eastAsia="宋体" w:cs="宋体"/>
          <w:b w:val="0"/>
          <w:bCs w:val="0"/>
          <w:color w:val="000000" w:themeColor="text1"/>
          <w:kern w:val="0"/>
          <w:sz w:val="28"/>
          <w:szCs w:val="28"/>
          <w:shd w:val="clear" w:color="auto" w:fill="auto"/>
          <w:lang w:val="en-US" w:eastAsia="zh-CN" w:bidi="ar"/>
          <w14:textFill>
            <w14:solidFill>
              <w14:schemeClr w14:val="tx1"/>
            </w14:solidFill>
          </w14:textFill>
        </w:rPr>
        <w:t>公用工程和辅助设施单元</w:t>
      </w:r>
    </w:p>
    <w:p w14:paraId="03AC1AB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val="0"/>
          <w:bCs w:val="0"/>
          <w:color w:val="000000" w:themeColor="text1"/>
          <w:kern w:val="0"/>
          <w:sz w:val="28"/>
          <w:szCs w:val="28"/>
          <w:shd w:val="clear" w:color="auto" w:fill="auto"/>
          <w:lang w:val="en-US" w:eastAsia="zh-CN" w:bidi="ar"/>
          <w14:textFill>
            <w14:solidFill>
              <w14:schemeClr w14:val="tx1"/>
            </w14:solidFill>
          </w14:textFill>
        </w:rPr>
      </w:pPr>
      <w:r>
        <w:rPr>
          <w:rFonts w:hint="eastAsia" w:ascii="宋体" w:hAnsi="宋体" w:eastAsia="宋体" w:cs="宋体"/>
          <w:color w:val="000000" w:themeColor="text1"/>
          <w:kern w:val="0"/>
          <w:sz w:val="28"/>
          <w:szCs w:val="28"/>
          <w:shd w:val="clear" w:color="auto" w:fill="auto"/>
          <w:lang w:val="en-US" w:eastAsia="zh-CN" w:bidi="ar"/>
          <w14:textFill>
            <w14:solidFill>
              <w14:schemeClr w14:val="tx1"/>
            </w14:solidFill>
          </w14:textFill>
        </w:rPr>
        <w:t>5.安全管理单元</w:t>
      </w:r>
    </w:p>
    <w:p w14:paraId="2E34F04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themeColor="text1"/>
          <w:sz w:val="28"/>
          <w:szCs w:val="28"/>
          <w:shd w:val="clear" w:color="auto" w:fill="auto"/>
          <w14:textFill>
            <w14:solidFill>
              <w14:schemeClr w14:val="tx1"/>
            </w14:solidFill>
          </w14:textFill>
        </w:rPr>
      </w:pPr>
      <w:r>
        <w:rPr>
          <w:rFonts w:hint="eastAsia" w:ascii="宋体" w:hAnsi="宋体" w:eastAsia="宋体" w:cs="宋体"/>
          <w:color w:val="000000" w:themeColor="text1"/>
          <w:kern w:val="0"/>
          <w:sz w:val="28"/>
          <w:szCs w:val="28"/>
          <w:shd w:val="clear" w:color="auto" w:fill="auto"/>
          <w:lang w:val="en-US" w:eastAsia="zh-CN" w:bidi="ar"/>
          <w14:textFill>
            <w14:solidFill>
              <w14:schemeClr w14:val="tx1"/>
            </w14:solidFill>
          </w14:textFill>
        </w:rPr>
        <w:t>6.重大事故隐患检查单元</w:t>
      </w:r>
    </w:p>
    <w:p w14:paraId="43D98229">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77" w:name="_Toc23931"/>
      <w:bookmarkStart w:id="178" w:name="_Toc7470"/>
      <w:r>
        <w:rPr>
          <w:rFonts w:hint="eastAsia" w:ascii="宋体" w:hAnsi="宋体" w:eastAsia="宋体" w:cs="宋体"/>
          <w:b/>
          <w:bCs/>
          <w:color w:val="000000"/>
          <w:kern w:val="0"/>
          <w:sz w:val="30"/>
          <w:szCs w:val="30"/>
          <w:lang w:val="en-US" w:eastAsia="zh-CN" w:bidi="ar"/>
        </w:rPr>
        <w:t>4.2 评价方法的选择</w:t>
      </w:r>
      <w:bookmarkEnd w:id="177"/>
      <w:bookmarkEnd w:id="178"/>
      <w:r>
        <w:rPr>
          <w:rFonts w:hint="eastAsia" w:ascii="宋体" w:hAnsi="宋体" w:eastAsia="宋体" w:cs="宋体"/>
          <w:b/>
          <w:bCs/>
          <w:color w:val="000000"/>
          <w:kern w:val="0"/>
          <w:sz w:val="30"/>
          <w:szCs w:val="30"/>
          <w:lang w:val="en-US" w:eastAsia="zh-CN" w:bidi="ar"/>
        </w:rPr>
        <w:t xml:space="preserve"> </w:t>
      </w:r>
    </w:p>
    <w:p w14:paraId="7DF237C5">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default"/>
          <w:sz w:val="28"/>
          <w:szCs w:val="28"/>
          <w:lang w:val="en-US"/>
        </w:rPr>
      </w:pPr>
      <w:r>
        <w:rPr>
          <w:rFonts w:hint="eastAsia" w:ascii="宋体" w:hAnsi="宋体" w:eastAsia="宋体" w:cs="宋体"/>
          <w:color w:val="000000"/>
          <w:kern w:val="0"/>
          <w:sz w:val="28"/>
          <w:szCs w:val="28"/>
          <w:lang w:val="en-US" w:eastAsia="zh-CN" w:bidi="ar"/>
        </w:rPr>
        <w:t>安全评价方法是对系统的各种、有害因素进行分析、评价的工具。目前</w:t>
      </w:r>
    </w:p>
    <w:p w14:paraId="352160A1">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sz w:val="28"/>
          <w:szCs w:val="28"/>
        </w:rPr>
      </w:pPr>
      <w:r>
        <w:rPr>
          <w:rFonts w:hint="eastAsia" w:ascii="宋体" w:hAnsi="宋体" w:eastAsia="宋体" w:cs="宋体"/>
          <w:color w:val="000000"/>
          <w:kern w:val="0"/>
          <w:sz w:val="28"/>
          <w:szCs w:val="28"/>
          <w:lang w:val="en-US" w:eastAsia="zh-CN" w:bidi="ar"/>
        </w:rPr>
        <w:t xml:space="preserve">已经开发数十种，每一种评价方法的原理、目标、应用条件、适用对象不尽相同，各有其特点和优缺点。 </w:t>
      </w:r>
    </w:p>
    <w:p w14:paraId="5D60340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针对本项目中各评价单元的功能、工艺及主要危险有害因素的特点，本次评价采用的评价方法为安全检查表法。 </w:t>
      </w:r>
    </w:p>
    <w:p w14:paraId="0D4418A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通过对项目潜在危险和有害因素的初步分析，结合本次评价目的和评价范围，进一步运用有关评价方法进行系统安全评价，找出主要灾害事故被触发的原因，系统地了解各危险源危险状况信息。根据国家安监总局编制的《安全评价》（煤炭工业出版社）推荐的评价方法，以及各种评价方法适用的范围和阶段，选择“安全检查表”方法评价较为合适本次现状评价。安全检查表分析（Safety Check List Analysis）是将一系列分析项目列出检查表进行分析以确定系统的状态，这些项目包括设备、贮运、操作、管理等各个方面。传统的安全检查表分析方法是分析人员列出一些危险项目，识别与一般工艺设备和操作有关的已知类型的危险、设计缺陷以及事故隐患，其所列项目的差别很大，而且通常用于检查各种规范和标准的执行情况。安全检查表分析的弹性很大，既可用于简单的快速分析，也可用于更深层次的分析，它是识别已知危险的有效方法。 </w:t>
      </w:r>
    </w:p>
    <w:p w14:paraId="6FBA6E2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安全检查表分析包括三个步骤： </w:t>
      </w:r>
    </w:p>
    <w:p w14:paraId="5D94350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1、选择或拟定合适的安全检查表； </w:t>
      </w:r>
    </w:p>
    <w:p w14:paraId="13A5358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2、完成分析； </w:t>
      </w:r>
    </w:p>
    <w:p w14:paraId="30253B6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3、编制分析结果文件</w:t>
      </w:r>
    </w:p>
    <w:p w14:paraId="285C44F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sz w:val="28"/>
          <w:szCs w:val="28"/>
        </w:rPr>
      </w:pPr>
      <w:bookmarkStart w:id="179" w:name="_Toc1266"/>
      <w:bookmarkStart w:id="180" w:name="_Toc4087"/>
      <w:r>
        <w:rPr>
          <w:rFonts w:hint="eastAsia" w:ascii="宋体" w:hAnsi="宋体" w:eastAsia="宋体" w:cs="宋体"/>
          <w:b/>
          <w:bCs/>
          <w:color w:val="000000"/>
          <w:kern w:val="0"/>
          <w:sz w:val="28"/>
          <w:szCs w:val="28"/>
          <w:lang w:val="en-US" w:eastAsia="zh-CN" w:bidi="ar"/>
        </w:rPr>
        <w:t>4.2.1 评价方法的选择及理由说明</w:t>
      </w:r>
      <w:bookmarkEnd w:id="179"/>
      <w:bookmarkEnd w:id="180"/>
      <w:r>
        <w:rPr>
          <w:rFonts w:hint="eastAsia" w:ascii="宋体" w:hAnsi="宋体" w:eastAsia="宋体" w:cs="宋体"/>
          <w:b/>
          <w:bCs/>
          <w:color w:val="000000"/>
          <w:kern w:val="0"/>
          <w:sz w:val="28"/>
          <w:szCs w:val="28"/>
          <w:lang w:val="en-US" w:eastAsia="zh-CN" w:bidi="ar"/>
        </w:rPr>
        <w:t xml:space="preserve"> </w:t>
      </w:r>
    </w:p>
    <w:p w14:paraId="2E5A18E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kern w:val="0"/>
          <w:sz w:val="28"/>
          <w:szCs w:val="28"/>
        </w:rPr>
      </w:pPr>
      <w:r>
        <w:rPr>
          <w:rFonts w:hint="eastAsia" w:ascii="宋体" w:hAnsi="宋体" w:eastAsia="宋体" w:cs="宋体"/>
          <w:color w:val="000000"/>
          <w:kern w:val="0"/>
          <w:sz w:val="28"/>
          <w:szCs w:val="28"/>
          <w:lang w:val="en-US" w:eastAsia="zh-CN" w:bidi="ar"/>
        </w:rPr>
        <w:t xml:space="preserve">安全评价方法是对系统的危险因素、危害因素及其危险、危害程度进行分析、评价的方法。目前，已开发出数十种不同特点、适用不同范围和应用条件的评价方法。按其特性可分为定性安全评价和定量安全评价。鉴于被评价单位的实际情况和从现状评价效果出发，在实施评价时，我们采用的评价方法主要是：安全检查表法（SCL）、预先危险性分析法（PHA）和事故树法。 </w:t>
      </w:r>
    </w:p>
    <w:p w14:paraId="1D8F31F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kern w:val="0"/>
          <w:sz w:val="28"/>
          <w:szCs w:val="28"/>
        </w:rPr>
      </w:pPr>
      <w:r>
        <w:rPr>
          <w:rFonts w:hint="eastAsia" w:ascii="宋体" w:hAnsi="宋体" w:eastAsia="宋体" w:cs="宋体"/>
          <w:color w:val="000000"/>
          <w:kern w:val="0"/>
          <w:sz w:val="28"/>
          <w:szCs w:val="28"/>
          <w:lang w:val="en-US" w:eastAsia="zh-CN" w:bidi="ar"/>
        </w:rPr>
        <w:t xml:space="preserve">由于本项目为现状评价，因此本报告中对各评价单元的评价均采用了安全检查表法（SCL）进行评价，通过项目现状情况与国家相关法规、标准的对照检查，得出各单元是否符合相关规定的结论。 </w:t>
      </w:r>
    </w:p>
    <w:p w14:paraId="4F93070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kern w:val="0"/>
          <w:sz w:val="28"/>
          <w:szCs w:val="28"/>
        </w:rPr>
      </w:pPr>
      <w:r>
        <w:rPr>
          <w:rFonts w:hint="eastAsia" w:ascii="宋体" w:hAnsi="宋体" w:eastAsia="宋体" w:cs="宋体"/>
          <w:color w:val="000000"/>
          <w:kern w:val="0"/>
          <w:sz w:val="28"/>
          <w:szCs w:val="28"/>
          <w:lang w:val="en-US" w:eastAsia="zh-CN" w:bidi="ar"/>
        </w:rPr>
        <w:t xml:space="preserve">预先危险分析方法通常用于对潜在危险了解较少和无法凭经验觉察的工艺项目。对生产过程采用了预先危险性分析法（PHA）对各个系统存在的危险性类别、出现危险状态的条件、导致事故的后果进行分析评价，并提出相应的措施。 </w:t>
      </w:r>
    </w:p>
    <w:p w14:paraId="7E749BB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outlineLvl w:val="9"/>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根据该公司生产区域范围内危险有害因素的特点和评价方法的适用性，本次安全现状评价采用的方法有：安全检查表分析法（SCL）。</w:t>
      </w:r>
    </w:p>
    <w:p w14:paraId="30B908B5">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pPr>
      <w:r>
        <w:rPr>
          <w:rFonts w:hint="eastAsia" w:ascii="宋体" w:hAnsi="宋体" w:eastAsia="宋体" w:cs="宋体"/>
          <w:b/>
          <w:bCs/>
          <w:color w:val="000000"/>
          <w:kern w:val="0"/>
          <w:sz w:val="24"/>
          <w:szCs w:val="24"/>
          <w:lang w:val="en-US" w:eastAsia="zh-CN" w:bidi="ar"/>
        </w:rPr>
        <w:t>表 4-2 评价单元采用的评价方法汇总</w:t>
      </w:r>
    </w:p>
    <w:tbl>
      <w:tblPr>
        <w:tblStyle w:val="17"/>
        <w:tblW w:w="88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2940"/>
        <w:gridCol w:w="2570"/>
        <w:gridCol w:w="2450"/>
      </w:tblGrid>
      <w:tr w14:paraId="1FF71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405999F8">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序号</w:t>
            </w:r>
          </w:p>
        </w:tc>
        <w:tc>
          <w:tcPr>
            <w:tcW w:w="2940" w:type="dxa"/>
            <w:vAlign w:val="center"/>
          </w:tcPr>
          <w:p w14:paraId="543F434D">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评价单元</w:t>
            </w:r>
          </w:p>
        </w:tc>
        <w:tc>
          <w:tcPr>
            <w:tcW w:w="2570" w:type="dxa"/>
            <w:vAlign w:val="center"/>
          </w:tcPr>
          <w:p w14:paraId="53B0A0D8">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使用的评价方法</w:t>
            </w:r>
          </w:p>
        </w:tc>
        <w:tc>
          <w:tcPr>
            <w:tcW w:w="2450" w:type="dxa"/>
            <w:vAlign w:val="center"/>
          </w:tcPr>
          <w:p w14:paraId="7568E744">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选择理由</w:t>
            </w:r>
          </w:p>
        </w:tc>
      </w:tr>
      <w:tr w14:paraId="3C0A5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1115B26F">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1</w:t>
            </w:r>
          </w:p>
        </w:tc>
        <w:tc>
          <w:tcPr>
            <w:tcW w:w="2940" w:type="dxa"/>
            <w:shd w:val="clear" w:color="auto" w:fill="auto"/>
            <w:vAlign w:val="center"/>
          </w:tcPr>
          <w:p w14:paraId="74B361C2">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选址及总平面布置单元</w:t>
            </w:r>
          </w:p>
        </w:tc>
        <w:tc>
          <w:tcPr>
            <w:tcW w:w="2570" w:type="dxa"/>
            <w:vAlign w:val="center"/>
          </w:tcPr>
          <w:p w14:paraId="28E23E73">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restart"/>
            <w:vAlign w:val="center"/>
          </w:tcPr>
          <w:p w14:paraId="46597FDB">
            <w:pPr>
              <w:keepNext w:val="0"/>
              <w:keepLines w:val="0"/>
              <w:pageBreakBefore w:val="0"/>
              <w:widowControl/>
              <w:suppressLineNumbers w:val="0"/>
              <w:kinsoku/>
              <w:wordWrap/>
              <w:overflowPunct/>
              <w:topLinePunct w:val="0"/>
              <w:autoSpaceDE/>
              <w:autoSpaceDN/>
              <w:bidi w:val="0"/>
              <w:adjustRightInd/>
              <w:snapToGrid/>
              <w:jc w:val="both"/>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依据国家有关法规、标准在检查表中列出了检查要求，使检查工作标准化、规范化。</w:t>
            </w:r>
          </w:p>
        </w:tc>
      </w:tr>
      <w:tr w14:paraId="6454B9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5014152D">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2</w:t>
            </w:r>
          </w:p>
        </w:tc>
        <w:tc>
          <w:tcPr>
            <w:tcW w:w="2940" w:type="dxa"/>
            <w:shd w:val="clear" w:color="auto" w:fill="auto"/>
            <w:vAlign w:val="center"/>
          </w:tcPr>
          <w:p w14:paraId="3B56BDF7">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lang w:val="en-US" w:eastAsia="zh-CN" w:bidi="ar-SA"/>
              </w:rPr>
            </w:pPr>
            <w:r>
              <w:rPr>
                <w:rFonts w:hint="eastAsia" w:ascii="宋体" w:hAnsi="宋体" w:eastAsia="宋体" w:cs="宋体"/>
                <w:b w:val="0"/>
                <w:bCs w:val="0"/>
                <w:color w:val="000000"/>
                <w:kern w:val="0"/>
                <w:sz w:val="24"/>
                <w:szCs w:val="24"/>
                <w:lang w:val="en-US" w:eastAsia="zh-CN" w:bidi="ar"/>
              </w:rPr>
              <w:t>建（构）筑物单元</w:t>
            </w:r>
          </w:p>
        </w:tc>
        <w:tc>
          <w:tcPr>
            <w:tcW w:w="2570" w:type="dxa"/>
            <w:vAlign w:val="center"/>
          </w:tcPr>
          <w:p w14:paraId="184C0509">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continue"/>
            <w:vAlign w:val="center"/>
          </w:tcPr>
          <w:p w14:paraId="71CD17D0">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r w14:paraId="645FA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226739D3">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3</w:t>
            </w:r>
          </w:p>
        </w:tc>
        <w:tc>
          <w:tcPr>
            <w:tcW w:w="2940" w:type="dxa"/>
            <w:shd w:val="clear" w:color="auto" w:fill="auto"/>
            <w:vAlign w:val="center"/>
          </w:tcPr>
          <w:p w14:paraId="0E8BB744">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bidi="ar-SA"/>
              </w:rPr>
            </w:pPr>
            <w:r>
              <w:rPr>
                <w:rFonts w:hint="eastAsia" w:ascii="宋体" w:hAnsi="宋体" w:eastAsia="宋体" w:cs="宋体"/>
                <w:b w:val="0"/>
                <w:bCs w:val="0"/>
                <w:color w:val="000000"/>
                <w:kern w:val="0"/>
                <w:sz w:val="24"/>
                <w:szCs w:val="24"/>
                <w:lang w:val="en-US" w:eastAsia="zh-CN" w:bidi="ar"/>
              </w:rPr>
              <w:t>生产工艺及设施设备单元</w:t>
            </w:r>
          </w:p>
        </w:tc>
        <w:tc>
          <w:tcPr>
            <w:tcW w:w="2570" w:type="dxa"/>
            <w:vAlign w:val="center"/>
          </w:tcPr>
          <w:p w14:paraId="08E2AC1C">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预先危险性分析表</w:t>
            </w:r>
          </w:p>
        </w:tc>
        <w:tc>
          <w:tcPr>
            <w:tcW w:w="2450" w:type="dxa"/>
            <w:vMerge w:val="continue"/>
            <w:vAlign w:val="center"/>
          </w:tcPr>
          <w:p w14:paraId="2EC4D7C4">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r w14:paraId="5064B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52AA9113">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4</w:t>
            </w:r>
          </w:p>
        </w:tc>
        <w:tc>
          <w:tcPr>
            <w:tcW w:w="2940" w:type="dxa"/>
            <w:shd w:val="clear" w:color="auto" w:fill="auto"/>
            <w:vAlign w:val="center"/>
          </w:tcPr>
          <w:p w14:paraId="6C809A93">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outlineLvl w:val="9"/>
              <w:rPr>
                <w:rFonts w:hint="eastAsia" w:ascii="宋体" w:hAnsi="宋体" w:eastAsia="宋体" w:cs="宋体"/>
                <w:b w:val="0"/>
                <w:bCs w:val="0"/>
                <w:sz w:val="24"/>
                <w:szCs w:val="24"/>
                <w:vertAlign w:val="baseline"/>
                <w:lang w:val="en-US" w:eastAsia="zh-CN" w:bidi="ar-SA"/>
              </w:rPr>
            </w:pPr>
            <w:r>
              <w:rPr>
                <w:rFonts w:hint="eastAsia" w:ascii="宋体" w:hAnsi="宋体" w:eastAsia="宋体" w:cs="宋体"/>
                <w:b w:val="0"/>
                <w:bCs w:val="0"/>
                <w:color w:val="000000"/>
                <w:kern w:val="0"/>
                <w:sz w:val="24"/>
                <w:szCs w:val="24"/>
                <w:lang w:val="en-US" w:eastAsia="zh-CN" w:bidi="ar"/>
              </w:rPr>
              <w:t>公用工程和辅助设施单元</w:t>
            </w:r>
          </w:p>
        </w:tc>
        <w:tc>
          <w:tcPr>
            <w:tcW w:w="2570" w:type="dxa"/>
            <w:vAlign w:val="center"/>
          </w:tcPr>
          <w:p w14:paraId="7948A0E4">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continue"/>
            <w:vAlign w:val="center"/>
          </w:tcPr>
          <w:p w14:paraId="5961B0BF">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r w14:paraId="3D3D8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2E99E1DF">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5</w:t>
            </w:r>
          </w:p>
        </w:tc>
        <w:tc>
          <w:tcPr>
            <w:tcW w:w="2940" w:type="dxa"/>
            <w:shd w:val="clear" w:color="auto" w:fill="auto"/>
            <w:vAlign w:val="center"/>
          </w:tcPr>
          <w:p w14:paraId="72E758B4">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安全管理单元</w:t>
            </w:r>
          </w:p>
        </w:tc>
        <w:tc>
          <w:tcPr>
            <w:tcW w:w="2570" w:type="dxa"/>
            <w:vAlign w:val="center"/>
          </w:tcPr>
          <w:p w14:paraId="130ECDD0">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continue"/>
            <w:vAlign w:val="center"/>
          </w:tcPr>
          <w:p w14:paraId="013DFBD0">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r w14:paraId="7AF74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867" w:type="dxa"/>
            <w:vAlign w:val="center"/>
          </w:tcPr>
          <w:p w14:paraId="51EFD4C3">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default"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6</w:t>
            </w:r>
          </w:p>
        </w:tc>
        <w:tc>
          <w:tcPr>
            <w:tcW w:w="2940" w:type="dxa"/>
            <w:shd w:val="clear" w:color="auto" w:fill="auto"/>
            <w:vAlign w:val="center"/>
          </w:tcPr>
          <w:p w14:paraId="30AA6597">
            <w:pPr>
              <w:keepNext w:val="0"/>
              <w:keepLines w:val="0"/>
              <w:pageBreakBefore w:val="0"/>
              <w:widowControl/>
              <w:suppressLineNumbers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color w:val="000000"/>
                <w:kern w:val="0"/>
                <w:sz w:val="24"/>
                <w:szCs w:val="24"/>
                <w:lang w:val="en-US" w:eastAsia="zh-CN" w:bidi="ar"/>
              </w:rPr>
              <w:t>重大事故隐患检查单元</w:t>
            </w:r>
          </w:p>
        </w:tc>
        <w:tc>
          <w:tcPr>
            <w:tcW w:w="2570" w:type="dxa"/>
            <w:vAlign w:val="center"/>
          </w:tcPr>
          <w:p w14:paraId="63FD01E7">
            <w:pPr>
              <w:keepNext w:val="0"/>
              <w:keepLines w:val="0"/>
              <w:pageBreakBefore w:val="0"/>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r>
              <w:rPr>
                <w:rFonts w:hint="eastAsia" w:ascii="宋体" w:hAnsi="宋体" w:eastAsia="宋体" w:cs="宋体"/>
                <w:sz w:val="24"/>
                <w:szCs w:val="24"/>
                <w:vertAlign w:val="baseline"/>
                <w:lang w:val="en-US" w:eastAsia="zh-CN" w:bidi="ar-SA"/>
              </w:rPr>
              <w:t>安全检查表</w:t>
            </w:r>
          </w:p>
        </w:tc>
        <w:tc>
          <w:tcPr>
            <w:tcW w:w="2450" w:type="dxa"/>
            <w:vMerge w:val="continue"/>
            <w:vAlign w:val="center"/>
          </w:tcPr>
          <w:p w14:paraId="46C14356">
            <w:pPr>
              <w:keepNext w:val="0"/>
              <w:keepLines w:val="0"/>
              <w:pageBreakBefore w:val="0"/>
              <w:tabs>
                <w:tab w:val="left" w:pos="946"/>
              </w:tabs>
              <w:kinsoku/>
              <w:wordWrap/>
              <w:overflowPunct/>
              <w:topLinePunct w:val="0"/>
              <w:autoSpaceDE/>
              <w:autoSpaceDN/>
              <w:bidi w:val="0"/>
              <w:adjustRightInd/>
              <w:snapToGrid/>
              <w:jc w:val="center"/>
              <w:textAlignment w:val="auto"/>
              <w:outlineLvl w:val="9"/>
              <w:rPr>
                <w:rFonts w:hint="eastAsia" w:ascii="宋体" w:hAnsi="宋体" w:eastAsia="宋体" w:cs="宋体"/>
                <w:sz w:val="24"/>
                <w:szCs w:val="24"/>
                <w:vertAlign w:val="baseline"/>
                <w:lang w:val="en-US" w:eastAsia="zh-CN" w:bidi="ar-SA"/>
              </w:rPr>
            </w:pPr>
          </w:p>
        </w:tc>
      </w:tr>
    </w:tbl>
    <w:p w14:paraId="274B6752">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181" w:name="_Toc17630"/>
      <w:bookmarkStart w:id="182" w:name="_Toc14431"/>
      <w:r>
        <w:rPr>
          <w:rFonts w:hint="eastAsia" w:ascii="宋体" w:hAnsi="宋体" w:eastAsia="宋体" w:cs="宋体"/>
          <w:b/>
          <w:bCs/>
          <w:color w:val="000000"/>
          <w:kern w:val="0"/>
          <w:sz w:val="28"/>
          <w:szCs w:val="28"/>
          <w:lang w:val="en-US" w:eastAsia="zh-CN" w:bidi="ar"/>
        </w:rPr>
        <w:t>4.2.2 评价方法简介</w:t>
      </w:r>
      <w:bookmarkEnd w:id="181"/>
      <w:bookmarkEnd w:id="182"/>
    </w:p>
    <w:p w14:paraId="6C2B21A9">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b/>
          <w:bCs/>
          <w:color w:val="000000"/>
          <w:kern w:val="0"/>
          <w:sz w:val="28"/>
          <w:szCs w:val="28"/>
          <w:lang w:val="en-US" w:eastAsia="zh-CN" w:bidi="ar"/>
        </w:rPr>
        <w:t xml:space="preserve">1、安全检查表法 </w:t>
      </w:r>
    </w:p>
    <w:p w14:paraId="4C00384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安全检查表法（SCL）是将一系列需要分析的项目列成检查表进行检查、分析，以确定系统的实际状态。分析项目包括设备、贮运、操作、管理等各个方面，也就是说将整个被检系统分成若干分系统，对所要查明的问题，根据生产条件和运行状况和有关规范、标准以及事故情况进行考虑和布置。把要检查的项目及具体要求列在表上，以备在检查时按预定项目进行。 </w:t>
      </w:r>
    </w:p>
    <w:p w14:paraId="0DB5B8C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检查表的内容一般包括分类项目、检查内容及要求、查出问题的处理意见等。每次检查都应填写具体的检查情况表，用“是”、“否”作回答或“√”、“×”符号作标记。 </w:t>
      </w:r>
    </w:p>
    <w:p w14:paraId="57BBD05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安全检查表法由三个步骤组成： </w:t>
      </w:r>
    </w:p>
    <w:p w14:paraId="5C4B1C8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①选择或拟定合适的安全检查表； </w:t>
      </w:r>
    </w:p>
    <w:p w14:paraId="3CE13BE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②完成检查及分析； </w:t>
      </w:r>
    </w:p>
    <w:p w14:paraId="2395C3D2">
      <w:pPr>
        <w:keepNext w:val="0"/>
        <w:keepLines w:val="0"/>
        <w:pageBreakBefore w:val="0"/>
        <w:widowControl w:val="0"/>
        <w:tabs>
          <w:tab w:val="left" w:pos="946"/>
        </w:tabs>
        <w:kinsoku/>
        <w:wordWrap/>
        <w:overflowPunct/>
        <w:topLinePunct w:val="0"/>
        <w:autoSpaceDE/>
        <w:autoSpaceDN/>
        <w:bidi w:val="0"/>
        <w:adjustRightInd/>
        <w:snapToGrid/>
        <w:spacing w:line="600" w:lineRule="exact"/>
        <w:ind w:firstLine="560" w:firstLineChars="200"/>
        <w:jc w:val="left"/>
        <w:textAlignment w:val="auto"/>
        <w:rPr>
          <w:rFonts w:hint="eastAsia" w:ascii="宋体" w:hAnsi="Times New Roman" w:eastAsia="宋体" w:cs="Times New Roman"/>
          <w:sz w:val="28"/>
          <w:szCs w:val="28"/>
          <w:lang w:val="en-US" w:eastAsia="zh-CN" w:bidi="ar-SA"/>
        </w:rPr>
      </w:pPr>
      <w:r>
        <w:rPr>
          <w:rFonts w:hint="eastAsia" w:ascii="宋体" w:hAnsi="宋体" w:eastAsia="宋体" w:cs="宋体"/>
          <w:color w:val="000000"/>
          <w:kern w:val="0"/>
          <w:sz w:val="28"/>
          <w:szCs w:val="28"/>
          <w:lang w:val="en-US" w:eastAsia="zh-CN" w:bidi="ar"/>
        </w:rPr>
        <w:t>③编制检查及分析结果文件。</w:t>
      </w:r>
    </w:p>
    <w:p w14:paraId="03403A70">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b/>
          <w:bCs/>
          <w:color w:val="000000"/>
          <w:kern w:val="0"/>
          <w:sz w:val="28"/>
          <w:szCs w:val="28"/>
          <w:lang w:val="en-US" w:eastAsia="zh-CN" w:bidi="ar"/>
        </w:rPr>
        <w:t xml:space="preserve">2、预先危险分析法 </w:t>
      </w:r>
    </w:p>
    <w:p w14:paraId="224F116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通过预先危险分析(PHA)，力求达到以下 4 个目的：①大体识别与系统有关的主要危险；②鉴别产生危险的原因；③预测事故出现对人体及系统产生的影响；④判定已识别的危险性等级，并提出消除或控制危险性的措施。 </w:t>
      </w:r>
    </w:p>
    <w:p w14:paraId="377D776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（1）预先危险分析步骤 </w:t>
      </w:r>
    </w:p>
    <w:p w14:paraId="5533DDC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a.通过经验判断、技术诊断或其他方法调查确定危险源(即危险因素存在于哪个子系统中)，对所需分析系统的生产目的、物料、装置及设备、工艺过程、操作条件以及周围环境等，进行充分详细的了解；</w:t>
      </w:r>
    </w:p>
    <w:p w14:paraId="78C94ED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b.根据过去的经验教训及同类行业生产中发生的事故(或灾害)情况，对系统的影响、损坏程度，类比判断所要分析的系统中可能出现的情况，查找能够造成系统故障、物质损失和人员伤害的危险性，分析事故(或灾害)的可能类型； </w:t>
      </w:r>
    </w:p>
    <w:p w14:paraId="65E97F2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c.对确定的危险源分类，制成预先危险性分析表； </w:t>
      </w:r>
    </w:p>
    <w:p w14:paraId="368A385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d.转化条件，即研究危险因素转变为危险状态的触发条件和危险状态转变为事故(或灾害)的必要条件，并进一步寻求对策措施，检验对策措施的有效性； </w:t>
      </w:r>
    </w:p>
    <w:p w14:paraId="2734ECA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e.进行危险性分级，排列出重点和轻、重、缓、急次序，以便处理； </w:t>
      </w:r>
    </w:p>
    <w:p w14:paraId="546728B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f.制定事故(或灾害)的预防性对策措施。 </w:t>
      </w:r>
    </w:p>
    <w:p w14:paraId="76149DC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（2）预先危险分析的要点 </w:t>
      </w:r>
    </w:p>
    <w:p w14:paraId="0CE75E9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a.划分危险性等级 </w:t>
      </w:r>
    </w:p>
    <w:p w14:paraId="441CDF2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在分析系统危险性时，为了衡量危险性的大小及其对系统破坏程度，将各类危险性划分为 4 个等级，见下表</w:t>
      </w:r>
    </w:p>
    <w:tbl>
      <w:tblPr>
        <w:tblStyle w:val="17"/>
        <w:tblpPr w:leftFromText="180" w:rightFromText="180" w:vertAnchor="text" w:horzAnchor="page" w:tblpX="1887" w:tblpY="209"/>
        <w:tblOverlap w:val="never"/>
        <w:tblW w:w="88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7"/>
        <w:gridCol w:w="1970"/>
        <w:gridCol w:w="5700"/>
      </w:tblGrid>
      <w:tr w14:paraId="067CC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157" w:type="dxa"/>
            <w:vAlign w:val="center"/>
          </w:tcPr>
          <w:p w14:paraId="52EE865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级别</w:t>
            </w:r>
          </w:p>
          <w:p w14:paraId="0EC5078C">
            <w:pPr>
              <w:tabs>
                <w:tab w:val="left" w:pos="1056"/>
              </w:tabs>
              <w:bidi w:val="0"/>
              <w:jc w:val="left"/>
              <w:rPr>
                <w:rFonts w:hint="eastAsia" w:ascii="宋体" w:hAnsi="宋体" w:eastAsia="宋体" w:cs="宋体"/>
                <w:sz w:val="24"/>
                <w:szCs w:val="24"/>
                <w:vertAlign w:val="baseline"/>
                <w:lang w:val="en-US" w:eastAsia="zh-CN"/>
              </w:rPr>
            </w:pPr>
          </w:p>
        </w:tc>
        <w:tc>
          <w:tcPr>
            <w:tcW w:w="1970" w:type="dxa"/>
            <w:vAlign w:val="center"/>
          </w:tcPr>
          <w:p w14:paraId="4B7B848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危险程度</w:t>
            </w:r>
          </w:p>
          <w:p w14:paraId="45270816">
            <w:pPr>
              <w:tabs>
                <w:tab w:val="left" w:pos="1056"/>
              </w:tabs>
              <w:bidi w:val="0"/>
              <w:jc w:val="left"/>
              <w:rPr>
                <w:rFonts w:hint="eastAsia" w:ascii="宋体" w:hAnsi="宋体" w:eastAsia="宋体" w:cs="宋体"/>
                <w:sz w:val="24"/>
                <w:szCs w:val="24"/>
                <w:vertAlign w:val="baseline"/>
                <w:lang w:val="en-US" w:eastAsia="zh-CN"/>
              </w:rPr>
            </w:pPr>
          </w:p>
        </w:tc>
        <w:tc>
          <w:tcPr>
            <w:tcW w:w="5700" w:type="dxa"/>
            <w:vAlign w:val="center"/>
          </w:tcPr>
          <w:p w14:paraId="0058B76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可能导致的后果</w:t>
            </w:r>
          </w:p>
          <w:p w14:paraId="03F3CB4B">
            <w:pPr>
              <w:tabs>
                <w:tab w:val="left" w:pos="1056"/>
              </w:tabs>
              <w:bidi w:val="0"/>
              <w:jc w:val="left"/>
              <w:rPr>
                <w:rFonts w:hint="eastAsia" w:ascii="宋体" w:hAnsi="宋体" w:eastAsia="宋体" w:cs="宋体"/>
                <w:sz w:val="24"/>
                <w:szCs w:val="24"/>
                <w:vertAlign w:val="baseline"/>
                <w:lang w:val="en-US" w:eastAsia="zh-CN"/>
              </w:rPr>
            </w:pPr>
          </w:p>
        </w:tc>
      </w:tr>
      <w:tr w14:paraId="26EE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1157" w:type="dxa"/>
            <w:vAlign w:val="center"/>
          </w:tcPr>
          <w:p w14:paraId="476A6BF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Ⅰ</w:t>
            </w:r>
          </w:p>
          <w:p w14:paraId="291BBBE8">
            <w:pPr>
              <w:tabs>
                <w:tab w:val="left" w:pos="1056"/>
              </w:tabs>
              <w:bidi w:val="0"/>
              <w:jc w:val="left"/>
              <w:rPr>
                <w:rFonts w:hint="eastAsia" w:ascii="宋体" w:hAnsi="宋体" w:eastAsia="宋体" w:cs="宋体"/>
                <w:sz w:val="24"/>
                <w:szCs w:val="24"/>
                <w:vertAlign w:val="baseline"/>
                <w:lang w:val="en-US" w:eastAsia="zh-CN"/>
              </w:rPr>
            </w:pPr>
          </w:p>
        </w:tc>
        <w:tc>
          <w:tcPr>
            <w:tcW w:w="1970" w:type="dxa"/>
            <w:vAlign w:val="center"/>
          </w:tcPr>
          <w:p w14:paraId="5C023A2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安全的</w:t>
            </w:r>
          </w:p>
          <w:p w14:paraId="443E357E">
            <w:pPr>
              <w:tabs>
                <w:tab w:val="left" w:pos="1056"/>
              </w:tabs>
              <w:bidi w:val="0"/>
              <w:jc w:val="left"/>
              <w:rPr>
                <w:rFonts w:hint="eastAsia" w:ascii="宋体" w:hAnsi="宋体" w:eastAsia="宋体" w:cs="宋体"/>
                <w:sz w:val="24"/>
                <w:szCs w:val="24"/>
                <w:vertAlign w:val="baseline"/>
                <w:lang w:val="en-US" w:eastAsia="zh-CN"/>
              </w:rPr>
            </w:pPr>
          </w:p>
        </w:tc>
        <w:tc>
          <w:tcPr>
            <w:tcW w:w="5700" w:type="dxa"/>
            <w:vAlign w:val="center"/>
          </w:tcPr>
          <w:p w14:paraId="50D5766C">
            <w:pPr>
              <w:keepNext w:val="0"/>
              <w:keepLines w:val="0"/>
              <w:widowControl/>
              <w:suppressLineNumbers w:val="0"/>
              <w:jc w:val="left"/>
            </w:pPr>
            <w:r>
              <w:rPr>
                <w:rFonts w:hint="eastAsia" w:ascii="宋体" w:hAnsi="宋体" w:eastAsia="宋体" w:cs="宋体"/>
                <w:color w:val="000000"/>
                <w:kern w:val="0"/>
                <w:sz w:val="24"/>
                <w:szCs w:val="24"/>
                <w:lang w:val="en-US" w:eastAsia="zh-CN" w:bidi="ar"/>
              </w:rPr>
              <w:t>不会造成人员伤亡及系统损坏。</w:t>
            </w:r>
          </w:p>
          <w:p w14:paraId="1E5451A3">
            <w:pPr>
              <w:tabs>
                <w:tab w:val="left" w:pos="1056"/>
              </w:tabs>
              <w:bidi w:val="0"/>
              <w:jc w:val="left"/>
              <w:rPr>
                <w:rFonts w:hint="eastAsia" w:ascii="宋体" w:hAnsi="宋体" w:eastAsia="宋体" w:cs="宋体"/>
                <w:sz w:val="24"/>
                <w:szCs w:val="24"/>
                <w:vertAlign w:val="baseline"/>
                <w:lang w:val="en-US" w:eastAsia="zh-CN"/>
              </w:rPr>
            </w:pPr>
          </w:p>
        </w:tc>
      </w:tr>
      <w:tr w14:paraId="405FD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exact"/>
        </w:trPr>
        <w:tc>
          <w:tcPr>
            <w:tcW w:w="1157" w:type="dxa"/>
            <w:vAlign w:val="center"/>
          </w:tcPr>
          <w:p w14:paraId="45EB173F">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Ⅱ</w:t>
            </w:r>
          </w:p>
        </w:tc>
        <w:tc>
          <w:tcPr>
            <w:tcW w:w="1970" w:type="dxa"/>
            <w:vAlign w:val="center"/>
          </w:tcPr>
          <w:p w14:paraId="20E537DE">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临界的</w:t>
            </w:r>
          </w:p>
        </w:tc>
        <w:tc>
          <w:tcPr>
            <w:tcW w:w="5700" w:type="dxa"/>
            <w:vAlign w:val="center"/>
          </w:tcPr>
          <w:p w14:paraId="710FF83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处于事故的边缘状态，暂时还不至于造成人员伤亡、系统损。</w:t>
            </w:r>
          </w:p>
          <w:p w14:paraId="72F4362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坏可降低系统性能，但应予以排除或采取控制措施</w:t>
            </w:r>
          </w:p>
          <w:p w14:paraId="23B827D8">
            <w:pPr>
              <w:tabs>
                <w:tab w:val="left" w:pos="1056"/>
              </w:tabs>
              <w:bidi w:val="0"/>
              <w:jc w:val="left"/>
              <w:rPr>
                <w:rFonts w:hint="eastAsia" w:ascii="宋体" w:hAnsi="宋体" w:eastAsia="宋体" w:cs="宋体"/>
                <w:sz w:val="24"/>
                <w:szCs w:val="24"/>
                <w:vertAlign w:val="baseline"/>
                <w:lang w:val="en-US" w:eastAsia="zh-CN"/>
              </w:rPr>
            </w:pPr>
          </w:p>
        </w:tc>
      </w:tr>
      <w:tr w14:paraId="050FF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trPr>
        <w:tc>
          <w:tcPr>
            <w:tcW w:w="1157" w:type="dxa"/>
            <w:vAlign w:val="center"/>
          </w:tcPr>
          <w:p w14:paraId="5BDDCD6E">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Ⅲ</w:t>
            </w:r>
          </w:p>
        </w:tc>
        <w:tc>
          <w:tcPr>
            <w:tcW w:w="1970" w:type="dxa"/>
            <w:vAlign w:val="center"/>
          </w:tcPr>
          <w:p w14:paraId="3B55A82B">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危险的</w:t>
            </w:r>
          </w:p>
        </w:tc>
        <w:tc>
          <w:tcPr>
            <w:tcW w:w="5700" w:type="dxa"/>
            <w:vAlign w:val="center"/>
          </w:tcPr>
          <w:p w14:paraId="6772E2B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会造成人员伤亡和系统损坏，要立即采取防范对策措施。</w:t>
            </w:r>
          </w:p>
          <w:p w14:paraId="114F6A1A">
            <w:pPr>
              <w:tabs>
                <w:tab w:val="left" w:pos="1056"/>
              </w:tabs>
              <w:bidi w:val="0"/>
              <w:jc w:val="left"/>
              <w:rPr>
                <w:rFonts w:hint="eastAsia" w:ascii="宋体" w:hAnsi="宋体" w:eastAsia="宋体" w:cs="宋体"/>
                <w:sz w:val="24"/>
                <w:szCs w:val="24"/>
                <w:vertAlign w:val="baseline"/>
                <w:lang w:val="en-US" w:eastAsia="zh-CN"/>
              </w:rPr>
            </w:pPr>
          </w:p>
        </w:tc>
      </w:tr>
      <w:tr w14:paraId="2239B5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0" w:hRule="exact"/>
        </w:trPr>
        <w:tc>
          <w:tcPr>
            <w:tcW w:w="1157" w:type="dxa"/>
            <w:vAlign w:val="center"/>
          </w:tcPr>
          <w:p w14:paraId="7CD7D92D">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Ⅳ</w:t>
            </w:r>
          </w:p>
        </w:tc>
        <w:tc>
          <w:tcPr>
            <w:tcW w:w="1970" w:type="dxa"/>
            <w:vAlign w:val="center"/>
          </w:tcPr>
          <w:p w14:paraId="00BCC68F">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灾难性的</w:t>
            </w:r>
          </w:p>
        </w:tc>
        <w:tc>
          <w:tcPr>
            <w:tcW w:w="5700" w:type="dxa"/>
            <w:vAlign w:val="center"/>
          </w:tcPr>
          <w:p w14:paraId="72018F83">
            <w:pPr>
              <w:keepNext w:val="0"/>
              <w:keepLines w:val="0"/>
              <w:widowControl/>
              <w:suppressLineNumbers w:val="0"/>
              <w:jc w:val="left"/>
              <w:rPr>
                <w:rFonts w:hint="eastAsia" w:ascii="宋体" w:hAnsi="宋体" w:eastAsia="宋体" w:cs="宋体"/>
                <w:sz w:val="24"/>
                <w:szCs w:val="24"/>
                <w:vertAlign w:val="baseline"/>
                <w:lang w:val="en-US" w:eastAsia="zh-CN"/>
              </w:rPr>
            </w:pPr>
            <w:r>
              <w:rPr>
                <w:rFonts w:hint="eastAsia" w:ascii="宋体" w:hAnsi="宋体" w:eastAsia="宋体" w:cs="宋体"/>
                <w:color w:val="000000"/>
                <w:kern w:val="0"/>
                <w:sz w:val="24"/>
                <w:szCs w:val="24"/>
                <w:lang w:val="en-US" w:eastAsia="zh-CN" w:bidi="ar"/>
              </w:rPr>
              <w:t>造成人员重大伤亡及系统严重破坏的灾难性事故，必须予以果断排除并进行重点防范。</w:t>
            </w:r>
          </w:p>
        </w:tc>
      </w:tr>
    </w:tbl>
    <w:p w14:paraId="72A0668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b.考虑工艺特点列出危险性和危险状态 </w:t>
      </w:r>
    </w:p>
    <w:p w14:paraId="53D0855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 xml:space="preserve">在预先危险性分析中，应考虑工艺特点，列出其危险性和危险状态：①原料、中间和最终产品，以及它们的反应活性；②操作环境；③装置设备；④设备布置；⑤操作活动(测试、维修等)；⑥系统之间的连接；⑦各单元之间的联系；⑧防火及安全设备。 </w:t>
      </w:r>
    </w:p>
    <w:p w14:paraId="22D0DCE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c.考虑一些因素 </w:t>
      </w:r>
    </w:p>
    <w:p w14:paraId="6DFE8AC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分析组在完成 PHA 过程中应考虑以下因素：①危险设备和物料，如燃料，高反应活性物质，有毒物质，爆炸、高压系统、其他贮运系统；②设备与物料之间与安全有关的隔离装置，如物料的相互作用，火灾、爆炸的产生和扩大、控制，停车系统；③影响设备和物料的环境因素，如地震、振动、洪水、极端环境温度、静电、放电、湿度；④操作、测试、维修及紧急处置规程，如人为失误的可能性，操作人员的作用，设备布置、可接近性，人员的安全保护；⑤辅助设施，如贮槽，测试设备，培训、公用工程；⑥与安全有关的设备，如调节系统、备用设备、灭火及人员保护设备。 </w:t>
      </w:r>
    </w:p>
    <w:p w14:paraId="2AB4546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（3）所需资料 </w:t>
      </w:r>
    </w:p>
    <w:p w14:paraId="4B5351D8">
      <w:pPr>
        <w:keepNext w:val="0"/>
        <w:keepLines w:val="0"/>
        <w:pageBreakBefore w:val="0"/>
        <w:widowControl w:val="0"/>
        <w:suppressLineNumbers w:val="0"/>
        <w:kinsoku w:val="0"/>
        <w:wordWrap/>
        <w:overflowPunct w:val="0"/>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使用 PHA 方法，需要分析人员获得装置设计标准、设备说明、材料说明及其他资料；PHA 需要分析组收集与装置或系统相关的有用资料，以及其他类比装置的资料。危险分析组应尽可能从不同渠道汲取相关经验，包括相似设备的危险性分析、相似设备的操作经验等。由于 PHA 主要是在项目开展的初期，识别危险性，装置的资料是有限的。然而，为了让 PHA 达到预期的目的，分析人员必须至少获取可行性研究报告，必须知道过程所包含的主要化学物品、反应、工艺参数，以及主要设备的类型(如容器、反应器、换热器等)。</w:t>
      </w:r>
    </w:p>
    <w:p w14:paraId="0A2E2F6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b/>
          <w:bCs/>
          <w:color w:val="000000"/>
          <w:kern w:val="0"/>
          <w:sz w:val="28"/>
          <w:szCs w:val="28"/>
          <w:lang w:val="en-US" w:eastAsia="zh-CN" w:bidi="ar"/>
        </w:rPr>
        <w:t xml:space="preserve">3、事故树分析法 </w:t>
      </w:r>
    </w:p>
    <w:p w14:paraId="6C4544C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事故树分析(Fault Tree Analysis，简称 FTA)又称故障树分析，是安全系统工程最重要的分析方法。1961年，美国贝尔电话研究所的沃特森(Watson)在研究民兵式导弹反射控制系统的安全性评价时，首先提出了这个方法。1974年，美国原子能委员会应用 FTA 对商用核电站的灾害危险性进行评价，发表了拉斯姆森报告，引起世界各国的关注。此后，FTA从军工迅速推广到机械、电子、交通、化工、冶金等民用工业。</w:t>
      </w:r>
    </w:p>
    <w:p w14:paraId="3601880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事故树是从结果到原因描绘事故发生的有向逻辑树。它形似倒立着的树，树中的节点具有逻辑判别性质。树的“根”顶部节点表示系统的某一事故，树的“梢”底部节点表示事故发生的基本原因，树的“树叉”中间节点表示由基本原因造成的事故结果，又是系统事故的中间原因。事故因果关系的不</w:t>
      </w:r>
    </w:p>
    <w:p w14:paraId="11959570">
      <w:pPr>
        <w:keepNext w:val="0"/>
        <w:keepLines w:val="0"/>
        <w:pageBreakBefore w:val="0"/>
        <w:kinsoku/>
        <w:wordWrap/>
        <w:overflowPunct/>
        <w:topLinePunct w:val="0"/>
        <w:autoSpaceDE/>
        <w:autoSpaceDN/>
        <w:bidi w:val="0"/>
        <w:adjustRightInd/>
        <w:snapToGrid/>
        <w:spacing w:line="600" w:lineRule="exact"/>
        <w:jc w:val="left"/>
        <w:textAlignment w:val="auto"/>
        <w:rPr>
          <w:rFonts w:hint="eastAsia"/>
          <w:sz w:val="28"/>
          <w:szCs w:val="28"/>
          <w:lang w:val="en-US" w:eastAsia="zh-CN"/>
        </w:rPr>
      </w:pPr>
      <w:r>
        <w:rPr>
          <w:rFonts w:hint="eastAsia"/>
          <w:sz w:val="28"/>
          <w:szCs w:val="28"/>
          <w:lang w:val="en-US" w:eastAsia="zh-CN"/>
        </w:rPr>
        <w:t>同性质用不同的逻辑门表示。这样画成的一个“树”用来描述某种事故发生的因果关系，称之为事故树。</w:t>
      </w:r>
    </w:p>
    <w:p w14:paraId="4C2705C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事故树分析逻辑性强，灵活性高，适应范围广，既能找到引起事故的直接原因，又能揭示事故发生的潜在原因，既可定性分析，又可定量分析。事故树分析用来分析事故，特别是重大恶性事故的因果关系。</w:t>
      </w:r>
    </w:p>
    <w:p w14:paraId="250C0DE6">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7ACCD832">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51BCDE9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6B6D419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47511EA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3ADC661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7D09DF4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4093F671">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20ACB108">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6475463C">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396770B1">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3FC13A1D">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39146C53">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56636FF5">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51906674">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117C61AB">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1D71F936">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0C998A5F">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4EBEE79F">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宋体" w:hAnsi="宋体" w:eastAsia="宋体" w:cs="宋体"/>
          <w:i w:val="0"/>
          <w:iCs w:val="0"/>
          <w:caps w:val="0"/>
          <w:color w:val="333333"/>
          <w:spacing w:val="0"/>
          <w:sz w:val="28"/>
          <w:szCs w:val="28"/>
          <w:shd w:val="clear" w:fill="FFFFFF"/>
          <w:lang w:val="en-US" w:eastAsia="zh-CN"/>
        </w:rPr>
      </w:pPr>
    </w:p>
    <w:p w14:paraId="6C9BC3A2">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outlineLvl w:val="0"/>
        <w:rPr>
          <w:rFonts w:hint="eastAsia"/>
          <w:lang w:val="en-US" w:eastAsia="zh-CN"/>
        </w:rPr>
      </w:pPr>
      <w:bookmarkStart w:id="183" w:name="_Toc22807"/>
      <w:bookmarkStart w:id="184" w:name="_Toc10259"/>
      <w:r>
        <w:rPr>
          <w:rFonts w:hint="eastAsia" w:ascii="宋体" w:hAnsi="宋体" w:eastAsia="宋体" w:cs="宋体"/>
          <w:b/>
          <w:bCs/>
          <w:color w:val="000000"/>
          <w:kern w:val="0"/>
          <w:sz w:val="36"/>
          <w:szCs w:val="36"/>
          <w:lang w:val="en-US" w:eastAsia="zh-CN" w:bidi="ar"/>
        </w:rPr>
        <w:t>第5章 定性、定量评价</w:t>
      </w:r>
      <w:bookmarkEnd w:id="183"/>
      <w:bookmarkEnd w:id="184"/>
    </w:p>
    <w:p w14:paraId="056AF214">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185" w:name="_Toc31652"/>
      <w:bookmarkStart w:id="186" w:name="_Toc7328"/>
      <w:r>
        <w:rPr>
          <w:rFonts w:hint="eastAsia" w:ascii="宋体" w:hAnsi="宋体" w:eastAsia="宋体" w:cs="宋体"/>
          <w:b/>
          <w:bCs/>
          <w:color w:val="000000"/>
          <w:kern w:val="0"/>
          <w:sz w:val="30"/>
          <w:szCs w:val="30"/>
          <w:lang w:val="en-US" w:eastAsia="zh-CN" w:bidi="ar"/>
        </w:rPr>
        <w:t>5.1 选址及总平面布置单元分析评价</w:t>
      </w:r>
      <w:bookmarkEnd w:id="185"/>
      <w:bookmarkEnd w:id="186"/>
      <w:r>
        <w:rPr>
          <w:rFonts w:hint="eastAsia" w:ascii="宋体" w:hAnsi="宋体" w:eastAsia="宋体" w:cs="宋体"/>
          <w:b/>
          <w:bCs/>
          <w:color w:val="000000"/>
          <w:kern w:val="0"/>
          <w:sz w:val="30"/>
          <w:szCs w:val="30"/>
          <w:lang w:val="en-US" w:eastAsia="zh-CN" w:bidi="ar"/>
        </w:rPr>
        <w:t xml:space="preserve"> </w:t>
      </w:r>
    </w:p>
    <w:p w14:paraId="72FCF628">
      <w:pPr>
        <w:pStyle w:val="6"/>
        <w:keepNext w:val="0"/>
        <w:keepLines w:val="0"/>
        <w:pageBreakBefore w:val="0"/>
        <w:widowControl w:val="0"/>
        <w:kinsoku/>
        <w:wordWrap/>
        <w:overflowPunct/>
        <w:topLinePunct w:val="0"/>
        <w:autoSpaceDE/>
        <w:autoSpaceDN/>
        <w:bidi w:val="0"/>
        <w:adjustRightInd/>
        <w:snapToGrid/>
        <w:ind w:firstLine="560" w:firstLineChars="200"/>
        <w:textAlignment w:val="auto"/>
        <w:rPr>
          <w:color w:val="0000FF"/>
          <w:sz w:val="28"/>
          <w:szCs w:val="28"/>
          <w:shd w:val="clear" w:color="FFFFFF" w:fill="D9D9D9"/>
        </w:rPr>
      </w:pPr>
      <w:r>
        <w:rPr>
          <w:rFonts w:hint="eastAsia" w:ascii="宋体" w:hAnsi="宋体" w:eastAsia="宋体" w:cs="宋体"/>
          <w:color w:val="000000"/>
          <w:kern w:val="0"/>
          <w:sz w:val="28"/>
          <w:szCs w:val="28"/>
          <w:lang w:val="en-US" w:eastAsia="zh-CN" w:bidi="ar"/>
        </w:rPr>
        <w:t>本单元依据《工业企业总平面设计规范》（GB50187-2012）、《工业企业厂内铁路、道路运输安全规程》（GB4387-2008）、</w:t>
      </w:r>
      <w:r>
        <w:rPr>
          <w:rFonts w:hint="eastAsia" w:ascii="宋体" w:hAnsi="宋体" w:eastAsia="宋体" w:cs="宋体"/>
          <w:color w:val="0000FF"/>
          <w:kern w:val="0"/>
          <w:sz w:val="28"/>
          <w:szCs w:val="28"/>
          <w:shd w:val="clear" w:color="FFFFFF" w:fill="D9D9D9"/>
          <w:lang w:val="en-US" w:eastAsia="zh-CN" w:bidi="ar"/>
        </w:rPr>
        <w:t>《建筑设计防火规范</w:t>
      </w:r>
      <w:r>
        <w:rPr>
          <w:rFonts w:hint="eastAsia" w:hAnsi="宋体" w:cs="宋体"/>
          <w:color w:val="0000FF"/>
          <w:kern w:val="0"/>
          <w:sz w:val="28"/>
          <w:szCs w:val="28"/>
          <w:shd w:val="clear" w:color="FFFFFF" w:fill="D9D9D9"/>
          <w:lang w:val="en-US" w:eastAsia="zh-CN" w:bidi="ar"/>
        </w:rPr>
        <w:t>（2018年版）</w:t>
      </w:r>
      <w:r>
        <w:rPr>
          <w:rFonts w:hint="eastAsia" w:ascii="宋体" w:hAnsi="宋体" w:eastAsia="宋体" w:cs="宋体"/>
          <w:color w:val="0000FF"/>
          <w:kern w:val="0"/>
          <w:sz w:val="28"/>
          <w:szCs w:val="28"/>
          <w:shd w:val="clear" w:color="FFFFFF" w:fill="D9D9D9"/>
          <w:lang w:val="en-US" w:eastAsia="zh-CN" w:bidi="ar"/>
        </w:rPr>
        <w:t>》（GB50016-201</w:t>
      </w:r>
      <w:r>
        <w:rPr>
          <w:rFonts w:hint="eastAsia" w:hAnsi="宋体" w:cs="宋体"/>
          <w:color w:val="0000FF"/>
          <w:kern w:val="0"/>
          <w:sz w:val="28"/>
          <w:szCs w:val="28"/>
          <w:shd w:val="clear" w:color="FFFFFF" w:fill="D9D9D9"/>
          <w:lang w:val="en-US" w:eastAsia="zh-CN" w:bidi="ar"/>
        </w:rPr>
        <w:t>4</w:t>
      </w:r>
      <w:r>
        <w:rPr>
          <w:rFonts w:hint="eastAsia" w:ascii="宋体" w:hAnsi="宋体" w:eastAsia="宋体" w:cs="宋体"/>
          <w:color w:val="0000FF"/>
          <w:kern w:val="0"/>
          <w:sz w:val="28"/>
          <w:szCs w:val="28"/>
          <w:shd w:val="clear" w:color="FFFFFF" w:fill="D9D9D9"/>
          <w:lang w:val="en-US" w:eastAsia="zh-CN" w:bidi="ar"/>
        </w:rPr>
        <w:t>）中的相关条款，编制安全检查表，对项目的选址、总平面布置两个方面进行定性分析。</w:t>
      </w:r>
    </w:p>
    <w:p w14:paraId="2A2021E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87" w:name="_Toc9411"/>
      <w:bookmarkStart w:id="188" w:name="_Toc14509"/>
      <w:r>
        <w:rPr>
          <w:rFonts w:hint="eastAsia" w:ascii="宋体" w:hAnsi="宋体" w:eastAsia="宋体" w:cs="宋体"/>
          <w:b/>
          <w:bCs/>
          <w:color w:val="000000"/>
          <w:kern w:val="0"/>
          <w:sz w:val="28"/>
          <w:szCs w:val="28"/>
          <w:lang w:val="en-US" w:eastAsia="zh-CN" w:bidi="ar"/>
        </w:rPr>
        <w:t>5.1.1 选址安全检查分析</w:t>
      </w:r>
      <w:bookmarkEnd w:id="187"/>
      <w:bookmarkEnd w:id="188"/>
    </w:p>
    <w:p w14:paraId="632444E6">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5-1 厂址安全检查表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3006"/>
        <w:gridCol w:w="1880"/>
        <w:gridCol w:w="2664"/>
        <w:gridCol w:w="1097"/>
      </w:tblGrid>
      <w:tr w14:paraId="390AA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8B1BCB0">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3006" w:type="dxa"/>
            <w:vAlign w:val="center"/>
          </w:tcPr>
          <w:p w14:paraId="577C12A4">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1880" w:type="dxa"/>
            <w:vAlign w:val="center"/>
          </w:tcPr>
          <w:p w14:paraId="78CB1B2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依据标准</w:t>
            </w:r>
          </w:p>
        </w:tc>
        <w:tc>
          <w:tcPr>
            <w:tcW w:w="2664" w:type="dxa"/>
            <w:vAlign w:val="center"/>
          </w:tcPr>
          <w:p w14:paraId="61CDF16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c>
          <w:tcPr>
            <w:tcW w:w="1097" w:type="dxa"/>
            <w:vAlign w:val="center"/>
          </w:tcPr>
          <w:p w14:paraId="7BC7B32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结论</w:t>
            </w:r>
          </w:p>
        </w:tc>
      </w:tr>
      <w:tr w14:paraId="7C9FC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E728CD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w:t>
            </w:r>
          </w:p>
        </w:tc>
        <w:tc>
          <w:tcPr>
            <w:tcW w:w="3006" w:type="dxa"/>
            <w:vAlign w:val="center"/>
          </w:tcPr>
          <w:p w14:paraId="0CB3B8F4">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rPr>
                <w:spacing w:val="11"/>
                <w:sz w:val="24"/>
                <w:szCs w:val="24"/>
              </w:rPr>
              <w:t>厂址选择必须符合工业布局和</w:t>
            </w:r>
            <w:r>
              <w:rPr>
                <w:spacing w:val="-6"/>
                <w:sz w:val="24"/>
                <w:szCs w:val="24"/>
              </w:rPr>
              <w:t>城市规划的要求，按照国家有关法律、法规及建设前期工作的规</w:t>
            </w:r>
            <w:r>
              <w:rPr>
                <w:spacing w:val="-3"/>
                <w:sz w:val="24"/>
                <w:szCs w:val="24"/>
              </w:rPr>
              <w:t>定进行。</w:t>
            </w:r>
          </w:p>
        </w:tc>
        <w:tc>
          <w:tcPr>
            <w:tcW w:w="1880" w:type="dxa"/>
            <w:vAlign w:val="center"/>
          </w:tcPr>
          <w:p w14:paraId="22D15C2B">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t>《工业企业</w:t>
            </w:r>
            <w:r>
              <w:rPr>
                <w:rFonts w:hint="eastAsia"/>
                <w:lang w:val="en-US" w:eastAsia="zh-CN"/>
              </w:rPr>
              <w:t>总</w:t>
            </w:r>
            <w:r>
              <w:t>平面设计规范》GB50187-20</w:t>
            </w:r>
            <w:r>
              <w:rPr>
                <w:rFonts w:hint="eastAsia"/>
                <w:lang w:val="en-US" w:eastAsia="zh-CN"/>
              </w:rPr>
              <w:t>12</w:t>
            </w:r>
            <w:r>
              <w:t>第3.0.1条</w:t>
            </w:r>
          </w:p>
        </w:tc>
        <w:tc>
          <w:tcPr>
            <w:tcW w:w="2664" w:type="dxa"/>
            <w:vAlign w:val="center"/>
          </w:tcPr>
          <w:p w14:paraId="1987F28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sz w:val="24"/>
                <w:szCs w:val="24"/>
                <w:lang w:eastAsia="zh-CN"/>
              </w:rPr>
              <w:t>云南</w:t>
            </w:r>
            <w:r>
              <w:rPr>
                <w:rFonts w:hint="eastAsia" w:hAnsi="宋体" w:cs="宋体"/>
                <w:sz w:val="24"/>
                <w:szCs w:val="24"/>
                <w:lang w:val="en-US" w:eastAsia="zh-CN"/>
              </w:rPr>
              <w:t>高机精密数控机床</w:t>
            </w:r>
            <w:r>
              <w:rPr>
                <w:rFonts w:hint="eastAsia" w:ascii="宋体" w:hAnsi="宋体" w:eastAsia="宋体" w:cs="宋体"/>
                <w:sz w:val="24"/>
                <w:szCs w:val="24"/>
                <w:lang w:eastAsia="zh-CN"/>
              </w:rPr>
              <w:t>有限公司</w:t>
            </w:r>
            <w:r>
              <w:rPr>
                <w:rFonts w:hint="eastAsia" w:ascii="宋体" w:hAnsi="宋体" w:eastAsia="宋体" w:cs="宋体"/>
                <w:sz w:val="24"/>
                <w:szCs w:val="24"/>
              </w:rPr>
              <w:t>厂址位于玉溪数控产业园，为租赁用地及租赁标准化厂房</w:t>
            </w:r>
            <w:r>
              <w:rPr>
                <w:rFonts w:hint="eastAsia" w:ascii="宋体" w:hAnsi="宋体" w:eastAsia="宋体" w:cs="宋体"/>
                <w:sz w:val="24"/>
                <w:szCs w:val="24"/>
                <w:lang w:eastAsia="zh-CN"/>
              </w:rPr>
              <w:t>。</w:t>
            </w:r>
          </w:p>
        </w:tc>
        <w:tc>
          <w:tcPr>
            <w:tcW w:w="1097" w:type="dxa"/>
            <w:vAlign w:val="center"/>
          </w:tcPr>
          <w:p w14:paraId="2A60B4A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bCs/>
                <w:color w:val="000000"/>
                <w:kern w:val="0"/>
                <w:sz w:val="28"/>
                <w:szCs w:val="28"/>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ECFC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1E3E7C1">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2</w:t>
            </w:r>
          </w:p>
        </w:tc>
        <w:tc>
          <w:tcPr>
            <w:tcW w:w="3006" w:type="dxa"/>
            <w:vAlign w:val="center"/>
          </w:tcPr>
          <w:p w14:paraId="02A92F05">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配套和服务工业企业的居住区、交通运输、动力公用设施、废料场及环境保护工程、施工基地等用地 ，应与厂区用地同时选择。</w:t>
            </w:r>
          </w:p>
        </w:tc>
        <w:tc>
          <w:tcPr>
            <w:tcW w:w="1880" w:type="dxa"/>
            <w:vAlign w:val="center"/>
          </w:tcPr>
          <w:p w14:paraId="67C2EC8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2</w:t>
            </w:r>
            <w:r>
              <w:t>条</w:t>
            </w:r>
          </w:p>
        </w:tc>
        <w:tc>
          <w:tcPr>
            <w:tcW w:w="2664" w:type="dxa"/>
            <w:vAlign w:val="center"/>
          </w:tcPr>
          <w:p w14:paraId="5758557B">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生产区、配电、给排水等公用设施等相应用地，同时选择。</w:t>
            </w:r>
          </w:p>
        </w:tc>
        <w:tc>
          <w:tcPr>
            <w:tcW w:w="1097" w:type="dxa"/>
            <w:vAlign w:val="center"/>
          </w:tcPr>
          <w:p w14:paraId="3A3BD08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bCs/>
                <w:color w:val="000000"/>
                <w:kern w:val="0"/>
                <w:sz w:val="28"/>
                <w:szCs w:val="28"/>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3869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4B8364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3006" w:type="dxa"/>
            <w:vAlign w:val="center"/>
          </w:tcPr>
          <w:p w14:paraId="5AC7FB9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选择应对原料、燃料及辅助材料的来源、产品流向、建设条件、经济、社会、人文、城镇土地利用现状与规划、环境保护、文物古迹、占地拆迁、对外协作、施工条件等各种因素进行深入的调查研究，并应进行多方案技术经济比较后确定。</w:t>
            </w:r>
          </w:p>
        </w:tc>
        <w:tc>
          <w:tcPr>
            <w:tcW w:w="1880" w:type="dxa"/>
            <w:vAlign w:val="center"/>
          </w:tcPr>
          <w:p w14:paraId="5784092A">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3</w:t>
            </w:r>
            <w:r>
              <w:t>条</w:t>
            </w:r>
          </w:p>
        </w:tc>
        <w:tc>
          <w:tcPr>
            <w:tcW w:w="2664" w:type="dxa"/>
            <w:vAlign w:val="center"/>
          </w:tcPr>
          <w:p w14:paraId="479C785C">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原料及辅助材料的来源、产品流向均可以满足要求。</w:t>
            </w:r>
          </w:p>
        </w:tc>
        <w:tc>
          <w:tcPr>
            <w:tcW w:w="1097" w:type="dxa"/>
            <w:vAlign w:val="center"/>
          </w:tcPr>
          <w:p w14:paraId="68AA7E0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909C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4C539C1">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3006" w:type="dxa"/>
            <w:vAlign w:val="center"/>
          </w:tcPr>
          <w:p w14:paraId="411F0456">
            <w:pPr>
              <w:keepNext w:val="0"/>
              <w:keepLines w:val="0"/>
              <w:pageBreakBefore w:val="0"/>
              <w:widowControl/>
              <w:suppressLineNumbers w:val="0"/>
              <w:kinsoku/>
              <w:wordWrap/>
              <w:overflowPunct/>
              <w:topLinePunct w:val="0"/>
              <w:autoSpaceDE/>
              <w:autoSpaceDN/>
              <w:bidi w:val="0"/>
              <w:adjustRightInd/>
              <w:snapToGrid/>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原料、燃料或产品运输量（特别）大的工业企业，厂址宜靠近原料、燃料基地或产品主要销售地及协作条件好的地区 。</w:t>
            </w:r>
          </w:p>
        </w:tc>
        <w:tc>
          <w:tcPr>
            <w:tcW w:w="1880" w:type="dxa"/>
            <w:vAlign w:val="center"/>
          </w:tcPr>
          <w:p w14:paraId="0217A70F">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4</w:t>
            </w:r>
            <w:r>
              <w:t>条</w:t>
            </w:r>
          </w:p>
        </w:tc>
        <w:tc>
          <w:tcPr>
            <w:tcW w:w="2664" w:type="dxa"/>
            <w:vAlign w:val="center"/>
          </w:tcPr>
          <w:p w14:paraId="34443C5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项目厂址交通运输方便。 </w:t>
            </w:r>
          </w:p>
        </w:tc>
        <w:tc>
          <w:tcPr>
            <w:tcW w:w="1097" w:type="dxa"/>
            <w:vAlign w:val="center"/>
          </w:tcPr>
          <w:p w14:paraId="0DA6511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CCB4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8ADEDAA">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3006" w:type="dxa"/>
            <w:vAlign w:val="center"/>
          </w:tcPr>
          <w:p w14:paraId="761CEEB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厂址应有便利和经济的交通运输条件，与厂外铁路、公路的连接，应便捷、工程量小。临近江、河、湖、海的厂址，通航条件满足企业运输要求时，应尽量利用水运，且厂址宜靠近适合建设码头的地段。</w:t>
            </w:r>
          </w:p>
        </w:tc>
        <w:tc>
          <w:tcPr>
            <w:tcW w:w="1880" w:type="dxa"/>
            <w:vAlign w:val="center"/>
          </w:tcPr>
          <w:p w14:paraId="43CFB2B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5</w:t>
            </w:r>
            <w:r>
              <w:t>条</w:t>
            </w:r>
          </w:p>
        </w:tc>
        <w:tc>
          <w:tcPr>
            <w:tcW w:w="2664" w:type="dxa"/>
            <w:vAlign w:val="center"/>
          </w:tcPr>
          <w:p w14:paraId="0B76293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项目厂址有方便、经济的交通运输条件。</w:t>
            </w:r>
          </w:p>
        </w:tc>
        <w:tc>
          <w:tcPr>
            <w:tcW w:w="1097" w:type="dxa"/>
            <w:vAlign w:val="center"/>
          </w:tcPr>
          <w:p w14:paraId="060AB9F5">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A7EC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80E73C6">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3006" w:type="dxa"/>
            <w:vAlign w:val="center"/>
          </w:tcPr>
          <w:p w14:paraId="1653892F">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厂址应具有满足生产、生活及发展所必需的水源和电源。水源和电源与厂址之间的管线连接应尽量短捷，且用水、用电量（特别）大的工业企业宜靠近水源及电源地。</w:t>
            </w:r>
          </w:p>
        </w:tc>
        <w:tc>
          <w:tcPr>
            <w:tcW w:w="1880" w:type="dxa"/>
            <w:vAlign w:val="center"/>
          </w:tcPr>
          <w:p w14:paraId="5DA5D458">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6</w:t>
            </w:r>
            <w:r>
              <w:t>条</w:t>
            </w:r>
          </w:p>
        </w:tc>
        <w:tc>
          <w:tcPr>
            <w:tcW w:w="2664" w:type="dxa"/>
            <w:vAlign w:val="center"/>
          </w:tcPr>
          <w:p w14:paraId="356C331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厂址具有满足生产、生活及发展规划所必需的水源和电源。</w:t>
            </w:r>
          </w:p>
        </w:tc>
        <w:tc>
          <w:tcPr>
            <w:tcW w:w="1097" w:type="dxa"/>
            <w:vAlign w:val="center"/>
          </w:tcPr>
          <w:p w14:paraId="258ACE37">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43EF2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8020AF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7</w:t>
            </w:r>
          </w:p>
        </w:tc>
        <w:tc>
          <w:tcPr>
            <w:tcW w:w="3006" w:type="dxa"/>
            <w:vAlign w:val="center"/>
          </w:tcPr>
          <w:p w14:paraId="48AFD7F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散发有害物质的工业企业厂址，应位于城镇、相邻工业企业和居住区全年最小频率风向的上 风侧，不应位于窝风地段，并应满足有关防护距离的要求。 </w:t>
            </w:r>
          </w:p>
        </w:tc>
        <w:tc>
          <w:tcPr>
            <w:tcW w:w="1880" w:type="dxa"/>
            <w:vAlign w:val="center"/>
          </w:tcPr>
          <w:p w14:paraId="11671688">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7</w:t>
            </w:r>
            <w:r>
              <w:t>条</w:t>
            </w:r>
          </w:p>
        </w:tc>
        <w:tc>
          <w:tcPr>
            <w:tcW w:w="2664" w:type="dxa"/>
            <w:vAlign w:val="center"/>
          </w:tcPr>
          <w:p w14:paraId="350DC5F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本项目无有害物散发，不在窝风地段。</w:t>
            </w:r>
          </w:p>
        </w:tc>
        <w:tc>
          <w:tcPr>
            <w:tcW w:w="1097" w:type="dxa"/>
            <w:vAlign w:val="center"/>
          </w:tcPr>
          <w:p w14:paraId="33BE1E6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30C7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52B312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8</w:t>
            </w:r>
          </w:p>
        </w:tc>
        <w:tc>
          <w:tcPr>
            <w:tcW w:w="3006" w:type="dxa"/>
            <w:vAlign w:val="center"/>
          </w:tcPr>
          <w:p w14:paraId="670C4CF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厂址应具有满足建设工程需要的工程地质条件和水文地质条件。</w:t>
            </w:r>
          </w:p>
        </w:tc>
        <w:tc>
          <w:tcPr>
            <w:tcW w:w="1880" w:type="dxa"/>
            <w:vAlign w:val="center"/>
          </w:tcPr>
          <w:p w14:paraId="1EDB0260">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8</w:t>
            </w:r>
            <w:r>
              <w:t>条</w:t>
            </w:r>
          </w:p>
        </w:tc>
        <w:tc>
          <w:tcPr>
            <w:tcW w:w="2664" w:type="dxa"/>
            <w:vAlign w:val="center"/>
          </w:tcPr>
          <w:p w14:paraId="1852278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经过查阅当地相关资料及现场勘察情况：现场检查时，厂区未出现开裂、下沉现象。</w:t>
            </w:r>
          </w:p>
        </w:tc>
        <w:tc>
          <w:tcPr>
            <w:tcW w:w="1097" w:type="dxa"/>
            <w:vAlign w:val="center"/>
          </w:tcPr>
          <w:p w14:paraId="7E5FC0C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FF9B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54A032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9</w:t>
            </w:r>
          </w:p>
        </w:tc>
        <w:tc>
          <w:tcPr>
            <w:tcW w:w="3006" w:type="dxa"/>
            <w:vAlign w:val="center"/>
          </w:tcPr>
          <w:p w14:paraId="5529876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厂址应满足近期建设所必需的场地面积和适宜的建厂地形，并应根据工业企业远期发展规划的需要，留有适当的发展余地。</w:t>
            </w:r>
          </w:p>
        </w:tc>
        <w:tc>
          <w:tcPr>
            <w:tcW w:w="1880" w:type="dxa"/>
            <w:vAlign w:val="center"/>
          </w:tcPr>
          <w:p w14:paraId="7972524D">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9</w:t>
            </w:r>
            <w:r>
              <w:t>条</w:t>
            </w:r>
          </w:p>
        </w:tc>
        <w:tc>
          <w:tcPr>
            <w:tcW w:w="2664" w:type="dxa"/>
            <w:vAlign w:val="center"/>
          </w:tcPr>
          <w:p w14:paraId="3B1DABB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厂址能满足近期所需的场地面积及地形坡度。</w:t>
            </w:r>
          </w:p>
        </w:tc>
        <w:tc>
          <w:tcPr>
            <w:tcW w:w="1097" w:type="dxa"/>
            <w:vAlign w:val="center"/>
          </w:tcPr>
          <w:p w14:paraId="4105549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8DF7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1464F08">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10</w:t>
            </w:r>
          </w:p>
        </w:tc>
        <w:tc>
          <w:tcPr>
            <w:tcW w:w="3006" w:type="dxa"/>
            <w:vAlign w:val="center"/>
          </w:tcPr>
          <w:p w14:paraId="32B6C51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厂址应满足适宜的地形坡度，尽量避开自然地形复杂、自然坡度大的地段，应避免将盆地、 积水洼地作为厂址 。</w:t>
            </w:r>
          </w:p>
        </w:tc>
        <w:tc>
          <w:tcPr>
            <w:tcW w:w="1880" w:type="dxa"/>
            <w:vAlign w:val="center"/>
          </w:tcPr>
          <w:p w14:paraId="1684926E">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10</w:t>
            </w:r>
            <w:r>
              <w:t>条</w:t>
            </w:r>
          </w:p>
        </w:tc>
        <w:tc>
          <w:tcPr>
            <w:tcW w:w="2664" w:type="dxa"/>
            <w:vAlign w:val="center"/>
          </w:tcPr>
          <w:p w14:paraId="14870CD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厂址具有适宜的地形坡度，不属于自然地形复杂、自然坡度大的地段。</w:t>
            </w:r>
          </w:p>
        </w:tc>
        <w:tc>
          <w:tcPr>
            <w:tcW w:w="1097" w:type="dxa"/>
            <w:vAlign w:val="center"/>
          </w:tcPr>
          <w:p w14:paraId="46552D1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1CA3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86CA397">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11</w:t>
            </w:r>
          </w:p>
        </w:tc>
        <w:tc>
          <w:tcPr>
            <w:tcW w:w="3006" w:type="dxa"/>
            <w:vAlign w:val="center"/>
          </w:tcPr>
          <w:p w14:paraId="7D4D983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1)</w:t>
            </w:r>
            <w:r>
              <w:rPr>
                <w:rFonts w:hint="eastAsia" w:ascii="宋体" w:hAnsi="宋体" w:eastAsia="宋体" w:cs="宋体"/>
                <w:color w:val="000000"/>
                <w:kern w:val="0"/>
                <w:sz w:val="24"/>
                <w:szCs w:val="24"/>
                <w:lang w:val="en-US" w:eastAsia="zh-CN" w:bidi="ar"/>
              </w:rPr>
              <w:t xml:space="preserve">当厂址不可避免不受洪水、潮水、或内涝威胁的地带时，必须采取防洪、排涝 措施； </w:t>
            </w:r>
          </w:p>
          <w:p w14:paraId="5075451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凡受江、河、潮、海洪水、潮水或山洪威胁的工业企业，防洪标准应符合现行国家标准《防洪标准》GB 50201的有关规定。</w:t>
            </w:r>
          </w:p>
        </w:tc>
        <w:tc>
          <w:tcPr>
            <w:tcW w:w="1880" w:type="dxa"/>
            <w:shd w:val="clear" w:color="auto" w:fill="auto"/>
            <w:vAlign w:val="center"/>
          </w:tcPr>
          <w:p w14:paraId="05BDDFF9">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ascii="宋体" w:hAnsi="Times New Roman" w:eastAsia="宋体" w:cs="Times New Roman"/>
                <w:sz w:val="24"/>
                <w:lang w:val="en-US" w:eastAsia="zh-CN" w:bidi="ar-SA"/>
              </w:rPr>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12</w:t>
            </w:r>
            <w:r>
              <w:t>条</w:t>
            </w:r>
          </w:p>
        </w:tc>
        <w:tc>
          <w:tcPr>
            <w:tcW w:w="2664" w:type="dxa"/>
            <w:vAlign w:val="center"/>
          </w:tcPr>
          <w:p w14:paraId="4207155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该项目厂址不受洪水、潮水和内涝的威胁。</w:t>
            </w:r>
          </w:p>
        </w:tc>
        <w:tc>
          <w:tcPr>
            <w:tcW w:w="1097" w:type="dxa"/>
            <w:vAlign w:val="center"/>
          </w:tcPr>
          <w:p w14:paraId="59BAA3A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8225A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BEE5C1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12</w:t>
            </w:r>
          </w:p>
        </w:tc>
        <w:tc>
          <w:tcPr>
            <w:tcW w:w="3006" w:type="dxa"/>
            <w:vAlign w:val="center"/>
          </w:tcPr>
          <w:p w14:paraId="1E1FC7B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山区建厂，当厂址位于山坡或山脚处时，应采取防止山洪、泥石流等自然灾害的危害的加固措施，应对山坡的稳定性等作出地质灾害的危险性评估报告。</w:t>
            </w:r>
          </w:p>
        </w:tc>
        <w:tc>
          <w:tcPr>
            <w:tcW w:w="1880" w:type="dxa"/>
            <w:shd w:val="clear" w:color="auto" w:fill="auto"/>
            <w:vAlign w:val="center"/>
          </w:tcPr>
          <w:p w14:paraId="0AF00E63">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13</w:t>
            </w:r>
            <w:r>
              <w:t>条</w:t>
            </w:r>
          </w:p>
        </w:tc>
        <w:tc>
          <w:tcPr>
            <w:tcW w:w="2664" w:type="dxa"/>
            <w:vAlign w:val="center"/>
          </w:tcPr>
          <w:p w14:paraId="23A39709">
            <w:pPr>
              <w:keepNext w:val="0"/>
              <w:keepLines w:val="0"/>
              <w:widowControl/>
              <w:suppressLineNumbers w:val="0"/>
              <w:jc w:val="both"/>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厂址不在山坡或山脚</w:t>
            </w:r>
          </w:p>
        </w:tc>
        <w:tc>
          <w:tcPr>
            <w:tcW w:w="1097" w:type="dxa"/>
            <w:vAlign w:val="center"/>
          </w:tcPr>
          <w:p w14:paraId="17DE229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CEB18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C229C12">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13</w:t>
            </w:r>
          </w:p>
        </w:tc>
        <w:tc>
          <w:tcPr>
            <w:tcW w:w="3006" w:type="dxa"/>
            <w:vAlign w:val="center"/>
          </w:tcPr>
          <w:p w14:paraId="4C27C5B0">
            <w:pPr>
              <w:keepNext w:val="0"/>
              <w:keepLines w:val="0"/>
              <w:widowControl/>
              <w:suppressLineNumbers w:val="0"/>
              <w:jc w:val="both"/>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下列地段和地区不应选为厂址： </w:t>
            </w:r>
          </w:p>
          <w:p w14:paraId="2759E97B">
            <w:pPr>
              <w:keepNext w:val="0"/>
              <w:keepLines w:val="0"/>
              <w:pageBreakBefore w:val="0"/>
              <w:widowControl/>
              <w:numPr>
                <w:ilvl w:val="0"/>
                <w:numId w:val="0"/>
              </w:numPr>
              <w:suppressLineNumbers w:val="0"/>
              <w:kinsoku/>
              <w:wordWrap/>
              <w:overflowPunct/>
              <w:topLinePunct w:val="0"/>
              <w:autoSpaceDE/>
              <w:autoSpaceDN/>
              <w:bidi w:val="0"/>
              <w:adjustRightInd/>
              <w:snapToGrid/>
              <w:ind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1)</w:t>
            </w:r>
            <w:r>
              <w:rPr>
                <w:rFonts w:hint="eastAsia" w:ascii="宋体" w:hAnsi="宋体" w:eastAsia="宋体" w:cs="宋体"/>
                <w:color w:val="000000"/>
                <w:kern w:val="0"/>
                <w:sz w:val="24"/>
                <w:szCs w:val="24"/>
                <w:lang w:val="en-US" w:eastAsia="zh-CN" w:bidi="ar"/>
              </w:rPr>
              <w:t xml:space="preserve">发震断层和抗震设防烈度为 9 度及高于 9 度的地震区； </w:t>
            </w:r>
          </w:p>
          <w:p w14:paraId="7EDD55D0">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2)</w:t>
            </w:r>
            <w:r>
              <w:rPr>
                <w:rFonts w:hint="eastAsia" w:ascii="宋体" w:hAnsi="宋体" w:eastAsia="宋体" w:cs="宋体"/>
                <w:color w:val="000000"/>
                <w:kern w:val="0"/>
                <w:sz w:val="24"/>
                <w:szCs w:val="24"/>
                <w:lang w:val="en-US" w:eastAsia="zh-CN" w:bidi="ar"/>
              </w:rPr>
              <w:t xml:space="preserve">有泥石流、滑坡、流沙、溶洞等直接危害的地段； </w:t>
            </w:r>
          </w:p>
          <w:p w14:paraId="14E0F486">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3)</w:t>
            </w:r>
            <w:r>
              <w:rPr>
                <w:rFonts w:hint="eastAsia" w:ascii="宋体" w:hAnsi="宋体" w:eastAsia="宋体" w:cs="宋体"/>
                <w:color w:val="000000"/>
                <w:kern w:val="0"/>
                <w:sz w:val="24"/>
                <w:szCs w:val="24"/>
                <w:lang w:val="en-US" w:eastAsia="zh-CN" w:bidi="ar"/>
              </w:rPr>
              <w:t xml:space="preserve">采矿陷落（错动）区地表界限内； </w:t>
            </w:r>
          </w:p>
          <w:p w14:paraId="2E936ABD">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4)</w:t>
            </w:r>
            <w:r>
              <w:rPr>
                <w:rFonts w:hint="eastAsia" w:ascii="宋体" w:hAnsi="宋体" w:eastAsia="宋体" w:cs="宋体"/>
                <w:color w:val="000000"/>
                <w:kern w:val="0"/>
                <w:sz w:val="24"/>
                <w:szCs w:val="24"/>
                <w:lang w:val="en-US" w:eastAsia="zh-CN" w:bidi="ar"/>
              </w:rPr>
              <w:t xml:space="preserve">爆破危险界限内； </w:t>
            </w:r>
          </w:p>
          <w:p w14:paraId="32D2535C">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5)</w:t>
            </w:r>
            <w:r>
              <w:rPr>
                <w:rFonts w:hint="eastAsia" w:ascii="宋体" w:hAnsi="宋体" w:eastAsia="宋体" w:cs="宋体"/>
                <w:color w:val="000000"/>
                <w:kern w:val="0"/>
                <w:sz w:val="24"/>
                <w:szCs w:val="24"/>
                <w:lang w:val="en-US" w:eastAsia="zh-CN" w:bidi="ar"/>
              </w:rPr>
              <w:t xml:space="preserve">坝或堤决溃后可能淹没的地区； </w:t>
            </w:r>
          </w:p>
          <w:p w14:paraId="1718C97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6)</w:t>
            </w:r>
            <w:r>
              <w:rPr>
                <w:rFonts w:hint="eastAsia" w:ascii="宋体" w:hAnsi="宋体" w:eastAsia="宋体" w:cs="宋体"/>
                <w:color w:val="000000"/>
                <w:kern w:val="0"/>
                <w:sz w:val="24"/>
                <w:szCs w:val="24"/>
                <w:lang w:val="en-US" w:eastAsia="zh-CN" w:bidi="ar"/>
              </w:rPr>
              <w:t xml:space="preserve">有严重放射性物质污染影响区； </w:t>
            </w:r>
          </w:p>
          <w:p w14:paraId="4FECA973">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7)</w:t>
            </w:r>
            <w:r>
              <w:rPr>
                <w:rFonts w:hint="eastAsia" w:ascii="宋体" w:hAnsi="宋体" w:eastAsia="宋体" w:cs="宋体"/>
                <w:color w:val="000000"/>
                <w:kern w:val="0"/>
                <w:sz w:val="24"/>
                <w:szCs w:val="24"/>
                <w:lang w:val="en-US" w:eastAsia="zh-CN" w:bidi="ar"/>
              </w:rPr>
              <w:t xml:space="preserve">生活居住区、文教区、水源保护区、名胜古迹、风景游览区、温泉、 疗养区、自然保护区和其它需要特别保护的区域； </w:t>
            </w:r>
          </w:p>
          <w:p w14:paraId="748E5011">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8)</w:t>
            </w:r>
            <w:r>
              <w:rPr>
                <w:rFonts w:hint="eastAsia" w:ascii="宋体" w:hAnsi="宋体" w:eastAsia="宋体" w:cs="宋体"/>
                <w:color w:val="000000"/>
                <w:kern w:val="0"/>
                <w:sz w:val="24"/>
                <w:szCs w:val="24"/>
                <w:lang w:val="en-US" w:eastAsia="zh-CN" w:bidi="ar"/>
              </w:rPr>
              <w:t xml:space="preserve">对飞机起落、电台通讯、电视转播、雷达导航和重要的天文、气象、地震观察以及军事设施等规定有影响的范围内； </w:t>
            </w:r>
          </w:p>
          <w:p w14:paraId="1F482FD4">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9)</w:t>
            </w:r>
            <w:r>
              <w:rPr>
                <w:rFonts w:hint="eastAsia" w:ascii="宋体" w:hAnsi="宋体" w:eastAsia="宋体" w:cs="宋体"/>
                <w:color w:val="000000"/>
                <w:kern w:val="0"/>
                <w:sz w:val="24"/>
                <w:szCs w:val="24"/>
                <w:lang w:val="en-US" w:eastAsia="zh-CN" w:bidi="ar"/>
              </w:rPr>
              <w:t xml:space="preserve">很严重的自重湿陷性黄土地段 ，厚度大的新近堆积黄土地段和高压缩性的饱和黄土地段等地质条件恶劣地段 ； </w:t>
            </w:r>
          </w:p>
          <w:p w14:paraId="47F6B40A">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sz w:val="24"/>
                <w:szCs w:val="24"/>
              </w:rPr>
            </w:pPr>
            <w:r>
              <w:rPr>
                <w:rFonts w:hint="default" w:ascii="宋体" w:hAnsi="宋体" w:eastAsia="宋体" w:cs="宋体"/>
                <w:sz w:val="24"/>
                <w:szCs w:val="24"/>
                <w:lang w:val="en-US" w:eastAsia="zh-CN" w:bidi="ar-SA"/>
              </w:rPr>
              <w:t>10)</w:t>
            </w:r>
            <w:r>
              <w:rPr>
                <w:rFonts w:hint="eastAsia" w:ascii="宋体" w:hAnsi="宋体" w:eastAsia="宋体" w:cs="宋体"/>
                <w:color w:val="000000"/>
                <w:kern w:val="0"/>
                <w:sz w:val="24"/>
                <w:szCs w:val="24"/>
                <w:lang w:val="en-US" w:eastAsia="zh-CN" w:bidi="ar"/>
              </w:rPr>
              <w:t xml:space="preserve">具有开采价值的矿藏区 ； </w:t>
            </w:r>
          </w:p>
          <w:p w14:paraId="0E0B4F3E">
            <w:pPr>
              <w:keepNext w:val="0"/>
              <w:keepLines w:val="0"/>
              <w:pageBreakBefore w:val="0"/>
              <w:widowControl/>
              <w:numPr>
                <w:ilvl w:val="0"/>
                <w:numId w:val="0"/>
              </w:numPr>
              <w:suppressLineNumbers w:val="0"/>
              <w:kinsoku/>
              <w:wordWrap/>
              <w:overflowPunct/>
              <w:topLinePunct w:val="0"/>
              <w:autoSpaceDE/>
              <w:autoSpaceDN/>
              <w:bidi w:val="0"/>
              <w:adjustRightInd/>
              <w:snapToGrid/>
              <w:ind w:left="0" w:leftChars="0" w:firstLine="0" w:firstLineChars="0"/>
              <w:jc w:val="both"/>
              <w:textAlignment w:val="auto"/>
              <w:rPr>
                <w:rFonts w:hint="eastAsia" w:ascii="宋体" w:hAnsi="宋体" w:eastAsia="宋体" w:cs="宋体"/>
                <w:color w:val="000000"/>
                <w:kern w:val="0"/>
                <w:sz w:val="24"/>
                <w:szCs w:val="24"/>
                <w:lang w:val="en-US" w:eastAsia="zh-CN" w:bidi="ar"/>
              </w:rPr>
            </w:pPr>
            <w:r>
              <w:rPr>
                <w:rFonts w:hint="default" w:ascii="宋体" w:hAnsi="宋体" w:eastAsia="宋体" w:cs="宋体"/>
                <w:color w:val="000000"/>
                <w:kern w:val="0"/>
                <w:sz w:val="24"/>
                <w:szCs w:val="24"/>
                <w:lang w:val="en-US" w:eastAsia="zh-CN" w:bidi="ar"/>
              </w:rPr>
              <w:t>11)</w:t>
            </w:r>
            <w:r>
              <w:rPr>
                <w:rFonts w:hint="eastAsia" w:ascii="宋体" w:hAnsi="宋体" w:eastAsia="宋体" w:cs="宋体"/>
                <w:color w:val="000000"/>
                <w:kern w:val="0"/>
                <w:sz w:val="24"/>
                <w:szCs w:val="24"/>
                <w:lang w:val="en-US" w:eastAsia="zh-CN" w:bidi="ar"/>
              </w:rPr>
              <w:t>受海啸或湖涌危害的地区。</w:t>
            </w:r>
          </w:p>
        </w:tc>
        <w:tc>
          <w:tcPr>
            <w:tcW w:w="1880" w:type="dxa"/>
            <w:shd w:val="clear" w:color="auto" w:fill="auto"/>
            <w:vAlign w:val="center"/>
          </w:tcPr>
          <w:p w14:paraId="44766C25">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t>《工业企业</w:t>
            </w:r>
            <w:r>
              <w:rPr>
                <w:rFonts w:hint="eastAsia"/>
                <w:lang w:val="en-US" w:eastAsia="zh-CN"/>
              </w:rPr>
              <w:t>总</w:t>
            </w:r>
            <w:r>
              <w:t>平面设计规范》GB50187-20</w:t>
            </w:r>
            <w:r>
              <w:rPr>
                <w:rFonts w:hint="eastAsia"/>
                <w:lang w:val="en-US" w:eastAsia="zh-CN"/>
              </w:rPr>
              <w:t>12</w:t>
            </w:r>
            <w:r>
              <w:t>第3.0.</w:t>
            </w:r>
            <w:r>
              <w:rPr>
                <w:rFonts w:hint="eastAsia"/>
                <w:lang w:val="en-US" w:eastAsia="zh-CN"/>
              </w:rPr>
              <w:t>14</w:t>
            </w:r>
            <w:r>
              <w:t>条</w:t>
            </w:r>
          </w:p>
        </w:tc>
        <w:tc>
          <w:tcPr>
            <w:tcW w:w="2664" w:type="dxa"/>
            <w:vAlign w:val="center"/>
          </w:tcPr>
          <w:p w14:paraId="369D630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厂址选择满足要求</w:t>
            </w:r>
          </w:p>
        </w:tc>
        <w:tc>
          <w:tcPr>
            <w:tcW w:w="1097" w:type="dxa"/>
            <w:vAlign w:val="center"/>
          </w:tcPr>
          <w:p w14:paraId="0D536599">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6D51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247240F">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14</w:t>
            </w:r>
          </w:p>
        </w:tc>
        <w:tc>
          <w:tcPr>
            <w:tcW w:w="3006" w:type="dxa"/>
            <w:vAlign w:val="center"/>
          </w:tcPr>
          <w:p w14:paraId="6A9EC12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工业企业选址宜避开自然疫源地；对于因建设工程需要等原因不能避开的，应设计具体的疫情综合预防控制措施。</w:t>
            </w:r>
          </w:p>
        </w:tc>
        <w:tc>
          <w:tcPr>
            <w:tcW w:w="1880" w:type="dxa"/>
            <w:shd w:val="clear" w:color="auto" w:fill="auto"/>
            <w:vAlign w:val="center"/>
          </w:tcPr>
          <w:p w14:paraId="29ACFAB1">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pPr>
            <w:r>
              <w:rPr>
                <w:rFonts w:hint="eastAsia" w:ascii="宋体" w:hAnsi="宋体" w:eastAsia="宋体" w:cs="宋体"/>
                <w:color w:val="000000"/>
                <w:kern w:val="0"/>
                <w:sz w:val="24"/>
                <w:szCs w:val="24"/>
                <w:lang w:val="en-US" w:eastAsia="zh-CN" w:bidi="ar"/>
              </w:rPr>
              <w:t>《工业企业设计卫生标准》（GBZ1-2010）第5.1.2条</w:t>
            </w:r>
          </w:p>
        </w:tc>
        <w:tc>
          <w:tcPr>
            <w:tcW w:w="2664" w:type="dxa"/>
            <w:vAlign w:val="center"/>
          </w:tcPr>
          <w:p w14:paraId="57B00C2C">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厂址所在地不属于自然疫源地。</w:t>
            </w:r>
          </w:p>
        </w:tc>
        <w:tc>
          <w:tcPr>
            <w:tcW w:w="1097" w:type="dxa"/>
            <w:vAlign w:val="center"/>
          </w:tcPr>
          <w:p w14:paraId="2CE36C0B">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8385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CAF474C">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15</w:t>
            </w:r>
          </w:p>
        </w:tc>
        <w:tc>
          <w:tcPr>
            <w:tcW w:w="3006" w:type="dxa"/>
            <w:vAlign w:val="center"/>
          </w:tcPr>
          <w:p w14:paraId="5191A85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选址宜避开可能产生或存在危害健康的场所和设施，如垃圾填埋场、污水处理厂、气体输送管道，以及水、土壤可能已被原工业企业污染的地区；建设工程需要难以避开的，应首先进行卫生学评估，并根据评估结果采取必要的控制措施。设计单位应明确要求施工单位和建设单位制定施工期间和投产运行后突发公共卫生事件应急救援预案。</w:t>
            </w:r>
          </w:p>
        </w:tc>
        <w:tc>
          <w:tcPr>
            <w:tcW w:w="1880" w:type="dxa"/>
            <w:shd w:val="clear" w:color="auto" w:fill="auto"/>
            <w:vAlign w:val="center"/>
          </w:tcPr>
          <w:p w14:paraId="3062C118">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《工业企业设计卫生标准》（GBZ1-2010）第5.1.3条</w:t>
            </w:r>
          </w:p>
        </w:tc>
        <w:tc>
          <w:tcPr>
            <w:tcW w:w="2664" w:type="dxa"/>
            <w:vAlign w:val="center"/>
          </w:tcPr>
          <w:p w14:paraId="6954DBE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该项目厂址避开了可能产生或存在危害健康的场所和设施。</w:t>
            </w:r>
          </w:p>
        </w:tc>
        <w:tc>
          <w:tcPr>
            <w:tcW w:w="1097" w:type="dxa"/>
            <w:vAlign w:val="center"/>
          </w:tcPr>
          <w:p w14:paraId="66B33CB3">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1D48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A93366D">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16</w:t>
            </w:r>
          </w:p>
        </w:tc>
        <w:tc>
          <w:tcPr>
            <w:tcW w:w="3006" w:type="dxa"/>
            <w:vAlign w:val="center"/>
          </w:tcPr>
          <w:p w14:paraId="55724D8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在同一工业区内布置不同卫生特征的工业企业时，宜避免不同有害因素产生交叉污染和联合作用。</w:t>
            </w:r>
          </w:p>
        </w:tc>
        <w:tc>
          <w:tcPr>
            <w:tcW w:w="1880" w:type="dxa"/>
            <w:shd w:val="clear" w:color="auto" w:fill="auto"/>
            <w:vAlign w:val="center"/>
          </w:tcPr>
          <w:p w14:paraId="581BEEA7">
            <w:pPr>
              <w:keepNext w:val="0"/>
              <w:keepLines w:val="0"/>
              <w:pageBreakBefore w:val="0"/>
              <w:widowControl/>
              <w:suppressLineNumbers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《工业企业设计卫生标准》（GBZ1-2010）第5.1.5条</w:t>
            </w:r>
          </w:p>
        </w:tc>
        <w:tc>
          <w:tcPr>
            <w:tcW w:w="2664" w:type="dxa"/>
            <w:vAlign w:val="center"/>
          </w:tcPr>
          <w:p w14:paraId="06E8E45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厂址周边工业企业与本项目之间不会产生交叉污染和联合作用。</w:t>
            </w:r>
          </w:p>
        </w:tc>
        <w:tc>
          <w:tcPr>
            <w:tcW w:w="1097" w:type="dxa"/>
            <w:vAlign w:val="center"/>
          </w:tcPr>
          <w:p w14:paraId="7A9615E7">
            <w:pPr>
              <w:keepNext w:val="0"/>
              <w:keepLines w:val="0"/>
              <w:pageBreakBefore w:val="0"/>
              <w:widowControl/>
              <w:suppressLineNumbers w:val="0"/>
              <w:kinsoku/>
              <w:wordWrap/>
              <w:overflowPunct/>
              <w:topLinePunct w:val="0"/>
              <w:autoSpaceDE/>
              <w:autoSpaceDN/>
              <w:bidi w:val="0"/>
              <w:adjustRightInd/>
              <w:snapToGrid/>
              <w:spacing w:line="600" w:lineRule="exact"/>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769B1973">
      <w:pPr>
        <w:keepNext w:val="0"/>
        <w:keepLines w:val="0"/>
        <w:widowControl/>
        <w:suppressLineNumbers w:val="0"/>
        <w:jc w:val="left"/>
        <w:outlineLvl w:val="2"/>
        <w:rPr>
          <w:rFonts w:hint="eastAsia" w:ascii="宋体" w:hAnsi="宋体" w:eastAsia="宋体" w:cs="宋体"/>
          <w:b/>
          <w:bCs/>
          <w:color w:val="000000"/>
          <w:kern w:val="0"/>
          <w:sz w:val="28"/>
          <w:szCs w:val="28"/>
          <w:lang w:val="en-US" w:eastAsia="zh-CN" w:bidi="ar"/>
        </w:rPr>
      </w:pPr>
      <w:bookmarkStart w:id="189" w:name="_Toc11205"/>
      <w:bookmarkStart w:id="190" w:name="_Toc26971"/>
      <w:r>
        <w:rPr>
          <w:rFonts w:hint="eastAsia" w:ascii="宋体" w:hAnsi="宋体" w:eastAsia="宋体" w:cs="宋体"/>
          <w:b/>
          <w:bCs/>
          <w:color w:val="000000"/>
          <w:kern w:val="0"/>
          <w:sz w:val="28"/>
          <w:szCs w:val="28"/>
          <w:lang w:val="en-US" w:eastAsia="zh-CN" w:bidi="ar"/>
        </w:rPr>
        <w:t>5.1.2 总平面布置安全检查表</w:t>
      </w:r>
      <w:bookmarkEnd w:id="189"/>
      <w:bookmarkEnd w:id="190"/>
    </w:p>
    <w:p w14:paraId="7C86EAC3">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5-2 总平面布置安全检查表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2877"/>
        <w:gridCol w:w="2136"/>
        <w:gridCol w:w="2556"/>
        <w:gridCol w:w="1074"/>
      </w:tblGrid>
      <w:tr w14:paraId="3FD7C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5E22CB19">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序号</w:t>
            </w:r>
          </w:p>
        </w:tc>
        <w:tc>
          <w:tcPr>
            <w:tcW w:w="2877" w:type="dxa"/>
            <w:vAlign w:val="center"/>
          </w:tcPr>
          <w:p w14:paraId="7E130EFC">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检查内容</w:t>
            </w:r>
          </w:p>
        </w:tc>
        <w:tc>
          <w:tcPr>
            <w:tcW w:w="2136" w:type="dxa"/>
            <w:vAlign w:val="center"/>
          </w:tcPr>
          <w:p w14:paraId="22111984">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依据标准</w:t>
            </w:r>
          </w:p>
        </w:tc>
        <w:tc>
          <w:tcPr>
            <w:tcW w:w="2556" w:type="dxa"/>
            <w:vAlign w:val="center"/>
          </w:tcPr>
          <w:p w14:paraId="702BBCA6">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检查情况</w:t>
            </w:r>
          </w:p>
        </w:tc>
        <w:tc>
          <w:tcPr>
            <w:tcW w:w="1074" w:type="dxa"/>
            <w:vAlign w:val="center"/>
          </w:tcPr>
          <w:p w14:paraId="1A953966">
            <w:pPr>
              <w:keepNext w:val="0"/>
              <w:keepLines w:val="0"/>
              <w:widowControl/>
              <w:suppressLineNumbers w:val="0"/>
              <w:jc w:val="center"/>
              <w:rPr>
                <w:rFonts w:hint="default" w:ascii="宋体" w:hAnsi="宋体" w:eastAsia="宋体" w:cs="宋体"/>
                <w:b/>
                <w:bCs/>
                <w:vertAlign w:val="baseline"/>
                <w:lang w:val="en-US" w:eastAsia="zh-CN"/>
              </w:rPr>
            </w:pPr>
            <w:r>
              <w:rPr>
                <w:rFonts w:hint="eastAsia" w:ascii="宋体" w:hAnsi="宋体" w:eastAsia="宋体" w:cs="宋体"/>
                <w:b/>
                <w:bCs/>
                <w:vertAlign w:val="baseline"/>
                <w:lang w:val="en-US" w:eastAsia="zh-CN"/>
              </w:rPr>
              <w:t>结论</w:t>
            </w:r>
          </w:p>
        </w:tc>
      </w:tr>
      <w:tr w14:paraId="6AEA30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66B145C5">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1</w:t>
            </w:r>
          </w:p>
        </w:tc>
        <w:tc>
          <w:tcPr>
            <w:tcW w:w="2877" w:type="dxa"/>
            <w:vAlign w:val="center"/>
          </w:tcPr>
          <w:p w14:paraId="754A48AF">
            <w:pPr>
              <w:keepNext w:val="0"/>
              <w:keepLines w:val="0"/>
              <w:widowControl/>
              <w:suppressLineNumbers w:val="0"/>
              <w:jc w:val="left"/>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厂区出入口的位置和数量，应根据企业的生产规模、总体规划、厂区用地面积及总平面布置等因素综合确定，其数量不宜少于 2 个。主要人流出入口宜与主要货流出入口分开设置，并应位于厂区主干道通往居住区或城镇的一侧。主要货流出入口应位于主要货流方向，并应与外部运输线路连接方便。</w:t>
            </w:r>
          </w:p>
        </w:tc>
        <w:tc>
          <w:tcPr>
            <w:tcW w:w="2136" w:type="dxa"/>
            <w:vAlign w:val="center"/>
          </w:tcPr>
          <w:p w14:paraId="67F09948">
            <w:pPr>
              <w:bidi w:val="0"/>
              <w:rPr>
                <w:rFonts w:hint="eastAsia" w:ascii="宋体" w:hAnsi="宋体" w:eastAsia="宋体" w:cs="宋体"/>
                <w:vertAlign w:val="baseline"/>
                <w:lang w:val="en-US" w:eastAsia="zh-CN"/>
              </w:rPr>
            </w:pPr>
            <w:r>
              <w:rPr>
                <w:rFonts w:hint="eastAsia" w:ascii="宋体" w:hAnsi="宋体" w:eastAsia="宋体" w:cs="宋体"/>
                <w:sz w:val="24"/>
                <w:szCs w:val="24"/>
                <w:lang w:val="en-US" w:eastAsia="zh-CN"/>
              </w:rPr>
              <w:t>《工业企业总平面设计规范》（GB50187-2012）第4.7.4条</w:t>
            </w:r>
          </w:p>
        </w:tc>
        <w:tc>
          <w:tcPr>
            <w:tcW w:w="2556" w:type="dxa"/>
            <w:vAlign w:val="center"/>
          </w:tcPr>
          <w:p w14:paraId="527FE56B">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厂区出入口满足要求，道路交通状况良好。</w:t>
            </w:r>
          </w:p>
        </w:tc>
        <w:tc>
          <w:tcPr>
            <w:tcW w:w="1074" w:type="dxa"/>
            <w:vAlign w:val="center"/>
          </w:tcPr>
          <w:p w14:paraId="09B10F02">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4CC7E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1D097A22">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2</w:t>
            </w:r>
          </w:p>
        </w:tc>
        <w:tc>
          <w:tcPr>
            <w:tcW w:w="2877" w:type="dxa"/>
            <w:vAlign w:val="center"/>
          </w:tcPr>
          <w:p w14:paraId="6F692A3C">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总平面布置应节约集约用地，提高土地利用率。布置时并应符合下列要求：（1）在符合生产流程、操作要求和使用功能的前提下，建筑物、构筑物等设施，应采用联合、集中、多层布置；（2）应按企业规模和功能分区，合理地确定通道宽度；（3）厂区功能分区及建筑物、构筑物的外形宜规整；（4）功能分区内各项设施的布置，应紧凑、合理。</w:t>
            </w:r>
          </w:p>
        </w:tc>
        <w:tc>
          <w:tcPr>
            <w:tcW w:w="2136" w:type="dxa"/>
            <w:vAlign w:val="center"/>
          </w:tcPr>
          <w:p w14:paraId="23FFBD4F">
            <w:pPr>
              <w:bidi w:val="0"/>
              <w:rPr>
                <w:rFonts w:hint="eastAsia" w:ascii="宋体" w:hAnsi="宋体" w:eastAsia="宋体" w:cs="宋体"/>
                <w:vertAlign w:val="baseline"/>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2</w:t>
            </w:r>
            <w:r>
              <w:rPr>
                <w:rFonts w:hint="eastAsia" w:ascii="宋体" w:hAnsi="宋体" w:eastAsia="宋体" w:cs="宋体"/>
                <w:sz w:val="24"/>
                <w:szCs w:val="24"/>
                <w:lang w:val="en-US" w:eastAsia="zh-CN"/>
              </w:rPr>
              <w:t>条</w:t>
            </w:r>
          </w:p>
        </w:tc>
        <w:tc>
          <w:tcPr>
            <w:tcW w:w="2556" w:type="dxa"/>
            <w:vAlign w:val="center"/>
          </w:tcPr>
          <w:p w14:paraId="1124D156">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总平面布置分区明确，按功能分区分为生产区、办公区，分区紧凑、合理。</w:t>
            </w:r>
          </w:p>
        </w:tc>
        <w:tc>
          <w:tcPr>
            <w:tcW w:w="1074" w:type="dxa"/>
            <w:vAlign w:val="center"/>
          </w:tcPr>
          <w:p w14:paraId="10B078C6">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6105F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2C612AFC">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3</w:t>
            </w:r>
          </w:p>
        </w:tc>
        <w:tc>
          <w:tcPr>
            <w:tcW w:w="2877" w:type="dxa"/>
            <w:vAlign w:val="center"/>
          </w:tcPr>
          <w:p w14:paraId="2BE43FD5">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总平面布置分区明确，按功能分区分为生产区、办公生活区，分区紧凑、合理。厂区的通道宽度，应符合下列要求：（1）应符合通道两侧建筑物、构筑物及露天设施对防火、安全与卫生间距的要求；（2）应符合铁路、道路与带式输送机通廊等工业运输线路的布置要求；（3）应符合各种工程管线的布置要求；（4）应符合绿化布置的要求；（5）应符合施工、安装与检修的要求；（6）应符合竖向设计的要求；（7）应符合预留发展用地的要求。</w:t>
            </w:r>
          </w:p>
        </w:tc>
        <w:tc>
          <w:tcPr>
            <w:tcW w:w="2136" w:type="dxa"/>
            <w:vAlign w:val="center"/>
          </w:tcPr>
          <w:p w14:paraId="55DDE664">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4</w:t>
            </w:r>
            <w:r>
              <w:rPr>
                <w:rFonts w:hint="eastAsia" w:ascii="宋体" w:hAnsi="宋体" w:eastAsia="宋体" w:cs="宋体"/>
                <w:sz w:val="24"/>
                <w:szCs w:val="24"/>
                <w:lang w:val="en-US" w:eastAsia="zh-CN"/>
              </w:rPr>
              <w:t>条</w:t>
            </w:r>
          </w:p>
        </w:tc>
        <w:tc>
          <w:tcPr>
            <w:tcW w:w="2556" w:type="dxa"/>
            <w:vAlign w:val="center"/>
          </w:tcPr>
          <w:p w14:paraId="347C97A8">
            <w:pPr>
              <w:keepNext w:val="0"/>
              <w:keepLines w:val="0"/>
              <w:widowControl/>
              <w:suppressLineNumbers w:val="0"/>
              <w:jc w:val="both"/>
              <w:rPr>
                <w:rFonts w:hint="eastAsia" w:ascii="宋体" w:hAnsi="宋体" w:eastAsia="宋体" w:cs="宋体"/>
                <w:vertAlign w:val="baseline"/>
                <w:lang w:val="en-US" w:eastAsia="zh-CN"/>
              </w:rPr>
            </w:pPr>
            <w:r>
              <w:rPr>
                <w:rFonts w:hint="eastAsia" w:ascii="宋体" w:hAnsi="宋体" w:eastAsia="宋体" w:cs="宋体"/>
                <w:color w:val="000000"/>
                <w:kern w:val="0"/>
                <w:sz w:val="24"/>
                <w:szCs w:val="24"/>
                <w:lang w:val="en-US" w:eastAsia="zh-CN" w:bidi="ar"/>
              </w:rPr>
              <w:t>厂区的通道符合通道两侧建筑物、构筑物及露天设施对防火、安全与卫生间距的要求；符合道路等工业运输线路的布置要求。</w:t>
            </w:r>
          </w:p>
        </w:tc>
        <w:tc>
          <w:tcPr>
            <w:tcW w:w="1074" w:type="dxa"/>
            <w:vAlign w:val="center"/>
          </w:tcPr>
          <w:p w14:paraId="746592EE">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59A35C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6267EDDC">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4</w:t>
            </w:r>
          </w:p>
        </w:tc>
        <w:tc>
          <w:tcPr>
            <w:tcW w:w="2877" w:type="dxa"/>
            <w:vAlign w:val="center"/>
          </w:tcPr>
          <w:p w14:paraId="3E0306E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总平面布置，应充分利用地形、地势、工程地质及水文地质条件，布置建筑物、构筑物和有关设施，应减少土（石）方工程量和基础工程费用，并应符合下列要求：（1）当厂区地形坡度较大时，建筑物、构筑物的长轴宜顺等高线布置；（2）应结合地形及竖向设计，为物料采用自流管道及高站台、低货位等设施创造条件。</w:t>
            </w:r>
          </w:p>
        </w:tc>
        <w:tc>
          <w:tcPr>
            <w:tcW w:w="2136" w:type="dxa"/>
            <w:vAlign w:val="center"/>
          </w:tcPr>
          <w:p w14:paraId="513D6C11">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5</w:t>
            </w:r>
            <w:r>
              <w:rPr>
                <w:rFonts w:hint="eastAsia" w:ascii="宋体" w:hAnsi="宋体" w:eastAsia="宋体" w:cs="宋体"/>
                <w:sz w:val="24"/>
                <w:szCs w:val="24"/>
                <w:lang w:val="en-US" w:eastAsia="zh-CN"/>
              </w:rPr>
              <w:t>条</w:t>
            </w:r>
          </w:p>
        </w:tc>
        <w:tc>
          <w:tcPr>
            <w:tcW w:w="2556" w:type="dxa"/>
            <w:vAlign w:val="center"/>
          </w:tcPr>
          <w:p w14:paraId="0211E73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厂区总平面布置，充分利用地形、地势、工程地质及水文地质条件，布置建筑物、构筑物和有关设施。</w:t>
            </w:r>
          </w:p>
        </w:tc>
        <w:tc>
          <w:tcPr>
            <w:tcW w:w="1074" w:type="dxa"/>
            <w:vAlign w:val="center"/>
          </w:tcPr>
          <w:p w14:paraId="425CC7B0">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43EAF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375701C6">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5</w:t>
            </w:r>
          </w:p>
        </w:tc>
        <w:tc>
          <w:tcPr>
            <w:tcW w:w="2877" w:type="dxa"/>
            <w:vAlign w:val="center"/>
          </w:tcPr>
          <w:p w14:paraId="703CFFA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总平面布置，应结合当地气象条件，使建筑物具有良好的朝向、采光和自然通风条件。高温、热加工、有特殊要求和人员较多的建筑物，应避免西晒。</w:t>
            </w:r>
          </w:p>
        </w:tc>
        <w:tc>
          <w:tcPr>
            <w:tcW w:w="2136" w:type="dxa"/>
            <w:vAlign w:val="center"/>
          </w:tcPr>
          <w:p w14:paraId="7EFA3CC1">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6</w:t>
            </w:r>
            <w:r>
              <w:rPr>
                <w:rFonts w:hint="eastAsia" w:ascii="宋体" w:hAnsi="宋体" w:eastAsia="宋体" w:cs="宋体"/>
                <w:sz w:val="24"/>
                <w:szCs w:val="24"/>
                <w:lang w:val="en-US" w:eastAsia="zh-CN"/>
              </w:rPr>
              <w:t>条</w:t>
            </w:r>
          </w:p>
        </w:tc>
        <w:tc>
          <w:tcPr>
            <w:tcW w:w="2556" w:type="dxa"/>
            <w:vAlign w:val="center"/>
          </w:tcPr>
          <w:p w14:paraId="653F48B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结合当地气象条件，建筑物具有良好的朝向、采光和自然通风条件。</w:t>
            </w:r>
          </w:p>
        </w:tc>
        <w:tc>
          <w:tcPr>
            <w:tcW w:w="1074" w:type="dxa"/>
            <w:vAlign w:val="center"/>
          </w:tcPr>
          <w:p w14:paraId="46FFA8DE">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0B3C9C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75C6E728">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6</w:t>
            </w:r>
          </w:p>
        </w:tc>
        <w:tc>
          <w:tcPr>
            <w:tcW w:w="2877" w:type="dxa"/>
            <w:vAlign w:val="center"/>
          </w:tcPr>
          <w:p w14:paraId="7857109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总平面布置应采取防止高温、有害气体、烟、雾、粉尘、强烈振动和高噪声对周围环境和人身安全的危害的安全保障措施，并应符合现行国家有关工业企业卫生设计标准的规定。</w:t>
            </w:r>
          </w:p>
        </w:tc>
        <w:tc>
          <w:tcPr>
            <w:tcW w:w="2136" w:type="dxa"/>
            <w:vAlign w:val="center"/>
          </w:tcPr>
          <w:p w14:paraId="6CEB34AE">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7</w:t>
            </w:r>
            <w:r>
              <w:rPr>
                <w:rFonts w:hint="eastAsia" w:ascii="宋体" w:hAnsi="宋体" w:eastAsia="宋体" w:cs="宋体"/>
                <w:sz w:val="24"/>
                <w:szCs w:val="24"/>
                <w:lang w:val="en-US" w:eastAsia="zh-CN"/>
              </w:rPr>
              <w:t>条</w:t>
            </w:r>
          </w:p>
        </w:tc>
        <w:tc>
          <w:tcPr>
            <w:tcW w:w="2556" w:type="dxa"/>
            <w:vAlign w:val="center"/>
          </w:tcPr>
          <w:p w14:paraId="7B7DB0A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本项目的生产作业都在厂房内进行。 </w:t>
            </w:r>
          </w:p>
        </w:tc>
        <w:tc>
          <w:tcPr>
            <w:tcW w:w="1074" w:type="dxa"/>
            <w:vAlign w:val="center"/>
          </w:tcPr>
          <w:p w14:paraId="3B4249AC">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7ED9E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72021226">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7</w:t>
            </w:r>
          </w:p>
        </w:tc>
        <w:tc>
          <w:tcPr>
            <w:tcW w:w="2877" w:type="dxa"/>
            <w:vAlign w:val="center"/>
          </w:tcPr>
          <w:p w14:paraId="56EFD22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总平面布置，应合理地组织货流和人流，并应符合下列要求：（1）运输线路的布置，应保证物流顺畅、径路短捷、不折返；（2）应避免运输繁忙的铁路与道路平面交叉；（3）应使人、货分流，应避免运输繁忙的货流与人流交叉；（4）应避免进出厂的主要货流与企业外部交通干线的平面交叉。</w:t>
            </w:r>
          </w:p>
        </w:tc>
        <w:tc>
          <w:tcPr>
            <w:tcW w:w="2136" w:type="dxa"/>
            <w:vAlign w:val="center"/>
          </w:tcPr>
          <w:p w14:paraId="3B6DAD69">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8</w:t>
            </w:r>
            <w:r>
              <w:rPr>
                <w:rFonts w:hint="eastAsia" w:ascii="宋体" w:hAnsi="宋体" w:eastAsia="宋体" w:cs="宋体"/>
                <w:sz w:val="24"/>
                <w:szCs w:val="24"/>
                <w:lang w:val="en-US" w:eastAsia="zh-CN"/>
              </w:rPr>
              <w:t>条</w:t>
            </w:r>
          </w:p>
        </w:tc>
        <w:tc>
          <w:tcPr>
            <w:tcW w:w="2556" w:type="dxa"/>
            <w:vAlign w:val="center"/>
          </w:tcPr>
          <w:p w14:paraId="32D7FE3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运输线路布置顺畅，途程短捷</w:t>
            </w:r>
            <w:r>
              <w:rPr>
                <w:rFonts w:hint="eastAsia" w:hAnsi="宋体" w:cs="宋体"/>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不折返。</w:t>
            </w:r>
          </w:p>
        </w:tc>
        <w:tc>
          <w:tcPr>
            <w:tcW w:w="1074" w:type="dxa"/>
            <w:vAlign w:val="center"/>
          </w:tcPr>
          <w:p w14:paraId="0869570C">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2246B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8" w:type="dxa"/>
            <w:vAlign w:val="center"/>
          </w:tcPr>
          <w:p w14:paraId="7D7765BB">
            <w:pPr>
              <w:keepNext w:val="0"/>
              <w:keepLines w:val="0"/>
              <w:widowControl/>
              <w:suppressLineNumbers w:val="0"/>
              <w:jc w:val="center"/>
              <w:rPr>
                <w:rFonts w:hint="default" w:ascii="宋体" w:hAnsi="宋体" w:eastAsia="宋体" w:cs="宋体"/>
                <w:vertAlign w:val="baseline"/>
                <w:lang w:val="en-US" w:eastAsia="zh-CN"/>
              </w:rPr>
            </w:pPr>
            <w:r>
              <w:rPr>
                <w:rFonts w:hint="eastAsia" w:ascii="宋体" w:hAnsi="宋体" w:eastAsia="宋体" w:cs="宋体"/>
                <w:vertAlign w:val="baseline"/>
                <w:lang w:val="en-US" w:eastAsia="zh-CN"/>
              </w:rPr>
              <w:t>8</w:t>
            </w:r>
          </w:p>
        </w:tc>
        <w:tc>
          <w:tcPr>
            <w:tcW w:w="2877" w:type="dxa"/>
            <w:vAlign w:val="center"/>
          </w:tcPr>
          <w:p w14:paraId="704A120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工业企业的建筑物、构筑物之间及其与铁路、道路之间的防火间距，以及消防通道的设置，应执行现行国家《建筑设计防火规范》GB50016等有关的规定。</w:t>
            </w:r>
          </w:p>
        </w:tc>
        <w:tc>
          <w:tcPr>
            <w:tcW w:w="2136" w:type="dxa"/>
            <w:vAlign w:val="center"/>
          </w:tcPr>
          <w:p w14:paraId="784BF206">
            <w:pPr>
              <w:keepNext w:val="0"/>
              <w:keepLines w:val="0"/>
              <w:widowControl/>
              <w:suppressLineNumbers w:val="0"/>
              <w:jc w:val="both"/>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《工业企业总平面设计规范》（GB50187-2012）第</w:t>
            </w:r>
            <w:r>
              <w:rPr>
                <w:rFonts w:hint="eastAsia" w:hAnsi="宋体" w:cs="宋体"/>
                <w:sz w:val="24"/>
                <w:szCs w:val="24"/>
                <w:lang w:val="en-US" w:eastAsia="zh-CN"/>
              </w:rPr>
              <w:t>5</w:t>
            </w:r>
            <w:r>
              <w:rPr>
                <w:rFonts w:hint="eastAsia" w:ascii="宋体" w:hAnsi="宋体" w:eastAsia="宋体" w:cs="宋体"/>
                <w:sz w:val="24"/>
                <w:szCs w:val="24"/>
                <w:lang w:val="en-US" w:eastAsia="zh-CN"/>
              </w:rPr>
              <w:t>.</w:t>
            </w:r>
            <w:r>
              <w:rPr>
                <w:rFonts w:hint="eastAsia" w:hAnsi="宋体" w:cs="宋体"/>
                <w:sz w:val="24"/>
                <w:szCs w:val="24"/>
                <w:lang w:val="en-US" w:eastAsia="zh-CN"/>
              </w:rPr>
              <w:t>1</w:t>
            </w:r>
            <w:r>
              <w:rPr>
                <w:rFonts w:hint="eastAsia" w:ascii="宋体" w:hAnsi="宋体" w:eastAsia="宋体" w:cs="宋体"/>
                <w:sz w:val="24"/>
                <w:szCs w:val="24"/>
                <w:lang w:val="en-US" w:eastAsia="zh-CN"/>
              </w:rPr>
              <w:t>.</w:t>
            </w:r>
            <w:r>
              <w:rPr>
                <w:rFonts w:hint="eastAsia" w:hAnsi="宋体" w:cs="宋体"/>
                <w:sz w:val="24"/>
                <w:szCs w:val="24"/>
                <w:lang w:val="en-US" w:eastAsia="zh-CN"/>
              </w:rPr>
              <w:t>10</w:t>
            </w:r>
            <w:r>
              <w:rPr>
                <w:rFonts w:hint="eastAsia" w:ascii="宋体" w:hAnsi="宋体" w:eastAsia="宋体" w:cs="宋体"/>
                <w:sz w:val="24"/>
                <w:szCs w:val="24"/>
                <w:lang w:val="en-US" w:eastAsia="zh-CN"/>
              </w:rPr>
              <w:t>条</w:t>
            </w:r>
          </w:p>
        </w:tc>
        <w:tc>
          <w:tcPr>
            <w:tcW w:w="2556" w:type="dxa"/>
            <w:vAlign w:val="center"/>
          </w:tcPr>
          <w:p w14:paraId="066280CE">
            <w:pPr>
              <w:keepNext w:val="0"/>
              <w:keepLines w:val="0"/>
              <w:widowControl/>
              <w:suppressLineNumbers w:val="0"/>
              <w:jc w:val="left"/>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建筑物、构筑物之间及其与道路之间的防火间距，以及消防通道的设置，执行现行国家《建筑设计防火规范》GB50016 等有关的规定。</w:t>
            </w:r>
          </w:p>
        </w:tc>
        <w:tc>
          <w:tcPr>
            <w:tcW w:w="1074" w:type="dxa"/>
            <w:vAlign w:val="center"/>
          </w:tcPr>
          <w:p w14:paraId="2A0FF3D7">
            <w:pPr>
              <w:keepNext w:val="0"/>
              <w:keepLines w:val="0"/>
              <w:widowControl/>
              <w:suppressLineNumbers w:val="0"/>
              <w:jc w:val="center"/>
              <w:rPr>
                <w:rFonts w:hint="eastAsia" w:ascii="宋体" w:hAnsi="宋体" w:eastAsia="宋体" w:cs="宋体"/>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bl>
    <w:p w14:paraId="02969DE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color w:val="000000"/>
          <w:kern w:val="0"/>
          <w:sz w:val="28"/>
          <w:szCs w:val="28"/>
          <w:lang w:val="en-US" w:eastAsia="zh-CN" w:bidi="ar"/>
        </w:rPr>
      </w:pPr>
      <w:bookmarkStart w:id="191" w:name="_Toc12688"/>
      <w:bookmarkStart w:id="192" w:name="_Toc13057"/>
      <w:r>
        <w:rPr>
          <w:rFonts w:hint="eastAsia" w:ascii="宋体" w:hAnsi="宋体" w:eastAsia="宋体" w:cs="宋体"/>
          <w:b/>
          <w:bCs/>
          <w:color w:val="000000"/>
          <w:kern w:val="0"/>
          <w:sz w:val="28"/>
          <w:szCs w:val="28"/>
          <w:lang w:val="en-US" w:eastAsia="zh-CN" w:bidi="ar"/>
        </w:rPr>
        <w:t>5.1.3 单元小结</w:t>
      </w:r>
      <w:bookmarkEnd w:id="191"/>
      <w:bookmarkEnd w:id="192"/>
    </w:p>
    <w:p w14:paraId="00129A01">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该评价项目厂址、总平面布置等符合《工业企业总平面设计规范》（GB50187-2012）等规范标准中的相关内容的规定，能满足安全生产要求。</w:t>
      </w:r>
    </w:p>
    <w:p w14:paraId="3BD9FE0A">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b/>
          <w:bCs/>
          <w:sz w:val="30"/>
          <w:szCs w:val="30"/>
        </w:rPr>
      </w:pPr>
      <w:bookmarkStart w:id="193" w:name="_Toc10733"/>
      <w:bookmarkStart w:id="194" w:name="_Toc17515"/>
      <w:r>
        <w:rPr>
          <w:rFonts w:hint="eastAsia" w:ascii="宋体" w:hAnsi="宋体" w:eastAsia="宋体" w:cs="宋体"/>
          <w:b/>
          <w:bCs/>
          <w:color w:val="000000"/>
          <w:kern w:val="0"/>
          <w:sz w:val="30"/>
          <w:szCs w:val="30"/>
          <w:lang w:val="en-US" w:eastAsia="zh-CN" w:bidi="ar"/>
        </w:rPr>
        <w:t>5.2 建（构）筑物单元</w:t>
      </w:r>
      <w:bookmarkEnd w:id="193"/>
      <w:bookmarkEnd w:id="194"/>
    </w:p>
    <w:p w14:paraId="6C7CE0E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依据《建筑与市政工程抗震通用规范》（GB55002-2021）、《建筑防火通用规范》（ GB55037-2022 ） 、 《 机 械 工 业 厂 房 建 筑 设 计 规 范 》（GB50681-2011）、《机械工业厂房结构设计规范》（GB50906-2013）等对本项目的建（构）筑物采用安全检查表法进行检查，检查其是否符合国家相关标准规范的要求。</w:t>
      </w:r>
    </w:p>
    <w:p w14:paraId="63C0BD59">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5-3 建（构）筑物单元安全检查表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3"/>
        <w:gridCol w:w="2878"/>
        <w:gridCol w:w="2136"/>
        <w:gridCol w:w="2548"/>
        <w:gridCol w:w="1076"/>
      </w:tblGrid>
      <w:tr w14:paraId="20CAB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19B288A9">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序号</w:t>
            </w:r>
          </w:p>
        </w:tc>
        <w:tc>
          <w:tcPr>
            <w:tcW w:w="2880" w:type="dxa"/>
            <w:vAlign w:val="center"/>
          </w:tcPr>
          <w:p w14:paraId="336F90EF">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检查内容</w:t>
            </w:r>
          </w:p>
        </w:tc>
        <w:tc>
          <w:tcPr>
            <w:tcW w:w="2130" w:type="dxa"/>
            <w:vAlign w:val="center"/>
          </w:tcPr>
          <w:p w14:paraId="2411BD6B">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依据标准</w:t>
            </w:r>
          </w:p>
        </w:tc>
        <w:tc>
          <w:tcPr>
            <w:tcW w:w="2550" w:type="dxa"/>
            <w:vAlign w:val="center"/>
          </w:tcPr>
          <w:p w14:paraId="60D3D3A4">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检查情况</w:t>
            </w:r>
          </w:p>
        </w:tc>
        <w:tc>
          <w:tcPr>
            <w:tcW w:w="1077" w:type="dxa"/>
            <w:vAlign w:val="center"/>
          </w:tcPr>
          <w:p w14:paraId="31B02914">
            <w:pPr>
              <w:bidi w:val="0"/>
              <w:jc w:val="center"/>
              <w:rPr>
                <w:rFonts w:hint="eastAsia" w:ascii="宋体" w:hAnsi="宋体" w:eastAsia="宋体" w:cs="宋体"/>
                <w:b/>
                <w:bCs/>
                <w:vertAlign w:val="baseline"/>
                <w:lang w:val="en-US" w:eastAsia="zh-CN"/>
              </w:rPr>
            </w:pPr>
            <w:r>
              <w:rPr>
                <w:rFonts w:hint="eastAsia" w:ascii="宋体" w:hAnsi="宋体" w:eastAsia="宋体" w:cs="宋体"/>
                <w:b/>
                <w:bCs/>
                <w:vertAlign w:val="baseline"/>
                <w:lang w:val="en-US" w:eastAsia="zh-CN"/>
              </w:rPr>
              <w:t>结论</w:t>
            </w:r>
          </w:p>
        </w:tc>
      </w:tr>
      <w:tr w14:paraId="25ACC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0DEE44D6">
            <w:pPr>
              <w:bidi w:val="0"/>
              <w:jc w:val="center"/>
              <w:rPr>
                <w:rFonts w:hint="default"/>
                <w:vertAlign w:val="baseline"/>
                <w:lang w:val="en-US" w:eastAsia="zh-CN"/>
              </w:rPr>
            </w:pPr>
            <w:r>
              <w:rPr>
                <w:rFonts w:hint="eastAsia"/>
                <w:vertAlign w:val="baseline"/>
                <w:lang w:val="en-US" w:eastAsia="zh-CN"/>
              </w:rPr>
              <w:t>1</w:t>
            </w:r>
          </w:p>
        </w:tc>
        <w:tc>
          <w:tcPr>
            <w:tcW w:w="2880" w:type="dxa"/>
            <w:vAlign w:val="center"/>
          </w:tcPr>
          <w:p w14:paraId="7E7C207F">
            <w:pPr>
              <w:keepNext w:val="0"/>
              <w:keepLines w:val="0"/>
              <w:widowControl/>
              <w:suppressLineNumbers w:val="0"/>
              <w:jc w:val="both"/>
              <w:rPr>
                <w:rFonts w:hint="eastAsia"/>
                <w:vertAlign w:val="baseline"/>
                <w:lang w:val="en-US" w:eastAsia="zh-CN"/>
              </w:rPr>
            </w:pPr>
            <w:r>
              <w:rPr>
                <w:rFonts w:hint="eastAsia" w:ascii="宋体" w:hAnsi="宋体" w:eastAsia="宋体" w:cs="宋体"/>
                <w:color w:val="000000"/>
                <w:kern w:val="0"/>
                <w:sz w:val="24"/>
                <w:szCs w:val="24"/>
                <w:lang w:val="en-US" w:eastAsia="zh-CN" w:bidi="ar"/>
              </w:rPr>
              <w:t>各类建筑与市政工程的抗震设防烈度不应低于本地区的抗震设防烈度。</w:t>
            </w:r>
          </w:p>
        </w:tc>
        <w:tc>
          <w:tcPr>
            <w:tcW w:w="2130" w:type="dxa"/>
            <w:vAlign w:val="center"/>
          </w:tcPr>
          <w:p w14:paraId="18C8B234">
            <w:pPr>
              <w:keepNext w:val="0"/>
              <w:keepLines w:val="0"/>
              <w:widowControl/>
              <w:suppressLineNumbers w:val="0"/>
              <w:jc w:val="left"/>
              <w:rPr>
                <w:rFonts w:hint="eastAsia"/>
                <w:vertAlign w:val="baseline"/>
                <w:lang w:val="en-US" w:eastAsia="zh-CN"/>
              </w:rPr>
            </w:pPr>
            <w:r>
              <w:rPr>
                <w:rFonts w:hint="eastAsia" w:ascii="宋体" w:hAnsi="宋体" w:eastAsia="宋体" w:cs="宋体"/>
                <w:color w:val="000000"/>
                <w:kern w:val="0"/>
                <w:sz w:val="24"/>
                <w:szCs w:val="24"/>
                <w:lang w:val="en-US" w:eastAsia="zh-CN" w:bidi="ar"/>
              </w:rPr>
              <w:t>《建筑与市政工程抗震通用规范》（GB55002-2021）第2.2.1条</w:t>
            </w:r>
          </w:p>
        </w:tc>
        <w:tc>
          <w:tcPr>
            <w:tcW w:w="2550" w:type="dxa"/>
            <w:vAlign w:val="center"/>
          </w:tcPr>
          <w:p w14:paraId="040E09B8">
            <w:pPr>
              <w:keepNext w:val="0"/>
              <w:keepLines w:val="0"/>
              <w:widowControl/>
              <w:suppressLineNumbers w:val="0"/>
              <w:jc w:val="both"/>
              <w:rPr>
                <w:rFonts w:hint="eastAsia"/>
                <w:vertAlign w:val="baseline"/>
                <w:lang w:val="en-US" w:eastAsia="zh-CN"/>
              </w:rPr>
            </w:pPr>
            <w:r>
              <w:rPr>
                <w:rFonts w:hint="eastAsia" w:ascii="宋体" w:hAnsi="宋体" w:eastAsia="宋体" w:cs="宋体"/>
                <w:color w:val="000000"/>
                <w:kern w:val="0"/>
                <w:sz w:val="24"/>
                <w:szCs w:val="24"/>
                <w:lang w:val="en-US" w:eastAsia="zh-CN" w:bidi="ar"/>
              </w:rPr>
              <w:t>本项目所在地为玉溪市红塔区，抗震设防烈度为8度，所属设计地震分组为第二组。</w:t>
            </w:r>
          </w:p>
        </w:tc>
        <w:tc>
          <w:tcPr>
            <w:tcW w:w="1077" w:type="dxa"/>
            <w:vAlign w:val="center"/>
          </w:tcPr>
          <w:p w14:paraId="1FB9E0A9">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6A93CE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266C5D41">
            <w:pPr>
              <w:bidi w:val="0"/>
              <w:jc w:val="center"/>
              <w:rPr>
                <w:rFonts w:hint="default"/>
                <w:vertAlign w:val="baseline"/>
                <w:lang w:val="en-US" w:eastAsia="zh-CN"/>
              </w:rPr>
            </w:pPr>
            <w:r>
              <w:rPr>
                <w:rFonts w:hint="eastAsia"/>
                <w:vertAlign w:val="baseline"/>
                <w:lang w:val="en-US" w:eastAsia="zh-CN"/>
              </w:rPr>
              <w:t>2</w:t>
            </w:r>
          </w:p>
        </w:tc>
        <w:tc>
          <w:tcPr>
            <w:tcW w:w="2880" w:type="dxa"/>
            <w:vAlign w:val="center"/>
          </w:tcPr>
          <w:p w14:paraId="08262C90">
            <w:pPr>
              <w:keepNext w:val="0"/>
              <w:keepLines w:val="0"/>
              <w:widowControl/>
              <w:suppressLineNumbers w:val="0"/>
              <w:jc w:val="both"/>
              <w:rPr>
                <w:rFonts w:hint="eastAsia"/>
                <w:vertAlign w:val="baseline"/>
                <w:lang w:val="en-US" w:eastAsia="zh-CN"/>
              </w:rPr>
            </w:pPr>
            <w:r>
              <w:rPr>
                <w:rFonts w:hint="eastAsia" w:ascii="宋体" w:hAnsi="宋体" w:eastAsia="宋体" w:cs="宋体"/>
                <w:color w:val="000000"/>
                <w:kern w:val="0"/>
                <w:sz w:val="24"/>
                <w:szCs w:val="24"/>
                <w:lang w:val="en-US" w:eastAsia="zh-CN" w:bidi="ar"/>
              </w:rPr>
              <w:t>抗震设防的各类建筑与市政工程，均应根据其遭受地震破坏后可能造成的人员伤亡、经济损失、社会影响程度及其在抗震救灾中的作用等因素划分为下列四个抗震设防类别：1、特殊设防类应为使用上有特殊要求的设施，涉及国家公共安全的重大建筑与市政工程和地震时可能发生严重次生灾害等特别重大灾害后果，需要进行特殊设防的建筑与市政工程，简称甲类；2、重点设防类应为地震时使用功能不能中断或需尽快恢复的生命线相关建筑与市政工程，以及地震时可能导致大量人员伤亡等重大灾害后果，需要提高设防标准的建筑与市政工程，简称乙类;3、标准设防类应为除本条第 1 款、第 2 款、第 4 款以外按标准要求进行设防的建筑与市政工程，简称丙类；4、适度设防类应为使用上人员稀少且震损不致产生次生灾害，允许在一定条件下适度降低设防要求的建筑与市政工程，简称丁类。</w:t>
            </w:r>
          </w:p>
        </w:tc>
        <w:tc>
          <w:tcPr>
            <w:tcW w:w="2130" w:type="dxa"/>
            <w:vAlign w:val="center"/>
          </w:tcPr>
          <w:p w14:paraId="4E6C9F3D">
            <w:pPr>
              <w:bidi w:val="0"/>
              <w:jc w:val="left"/>
              <w:rPr>
                <w:rFonts w:hint="eastAsia"/>
                <w:vertAlign w:val="baseline"/>
                <w:lang w:val="en-US" w:eastAsia="zh-CN"/>
              </w:rPr>
            </w:pPr>
            <w:r>
              <w:rPr>
                <w:rFonts w:hint="eastAsia" w:ascii="宋体" w:hAnsi="宋体" w:eastAsia="宋体" w:cs="宋体"/>
                <w:color w:val="000000"/>
                <w:kern w:val="0"/>
                <w:sz w:val="24"/>
                <w:szCs w:val="24"/>
                <w:lang w:val="en-US" w:eastAsia="zh-CN" w:bidi="ar"/>
              </w:rPr>
              <w:t>《建筑与市政工程抗震通用规范》（GB55002-2021）第2.</w:t>
            </w:r>
            <w:r>
              <w:rPr>
                <w:rFonts w:hint="eastAsia" w:hAnsi="宋体" w:cs="宋体"/>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.1条</w:t>
            </w:r>
          </w:p>
        </w:tc>
        <w:tc>
          <w:tcPr>
            <w:tcW w:w="2550" w:type="dxa"/>
            <w:vAlign w:val="center"/>
          </w:tcPr>
          <w:p w14:paraId="69467513">
            <w:pPr>
              <w:bidi w:val="0"/>
              <w:jc w:val="both"/>
              <w:rPr>
                <w:rFonts w:hint="eastAsia"/>
                <w:vertAlign w:val="baseline"/>
                <w:lang w:val="en-US" w:eastAsia="zh-CN"/>
              </w:rPr>
            </w:pPr>
          </w:p>
        </w:tc>
        <w:tc>
          <w:tcPr>
            <w:tcW w:w="1077" w:type="dxa"/>
            <w:vAlign w:val="center"/>
          </w:tcPr>
          <w:p w14:paraId="2BFA5159">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398FA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34AB0C94">
            <w:pPr>
              <w:bidi w:val="0"/>
              <w:jc w:val="center"/>
              <w:rPr>
                <w:rFonts w:hint="default"/>
                <w:vertAlign w:val="baseline"/>
                <w:lang w:val="en-US" w:eastAsia="zh-CN"/>
              </w:rPr>
            </w:pPr>
            <w:r>
              <w:rPr>
                <w:rFonts w:hint="eastAsia"/>
                <w:vertAlign w:val="baseline"/>
                <w:lang w:val="en-US" w:eastAsia="zh-CN"/>
              </w:rPr>
              <w:t>3</w:t>
            </w:r>
          </w:p>
        </w:tc>
        <w:tc>
          <w:tcPr>
            <w:tcW w:w="2880" w:type="dxa"/>
            <w:vAlign w:val="center"/>
          </w:tcPr>
          <w:p w14:paraId="57C753B8">
            <w:pPr>
              <w:keepNext w:val="0"/>
              <w:keepLines w:val="0"/>
              <w:widowControl/>
              <w:suppressLineNumbers w:val="0"/>
              <w:jc w:val="both"/>
              <w:rPr>
                <w:rFonts w:hint="eastAsia"/>
                <w:vertAlign w:val="baseline"/>
                <w:lang w:val="en-US" w:eastAsia="zh-CN"/>
              </w:rPr>
            </w:pPr>
            <w:r>
              <w:rPr>
                <w:rFonts w:hint="eastAsia" w:ascii="宋体" w:hAnsi="宋体" w:eastAsia="宋体" w:cs="宋体"/>
                <w:color w:val="000000"/>
                <w:kern w:val="0"/>
                <w:sz w:val="24"/>
                <w:szCs w:val="24"/>
                <w:lang w:val="en-US" w:eastAsia="zh-CN" w:bidi="ar"/>
              </w:rPr>
              <w:t>生产的火灾危险性应根据生产中使用或产生的物质性质及其数量等因素划分，可分为甲、乙、丙、丁、戊类，并应符合表 3.1.1 的规定。</w:t>
            </w:r>
          </w:p>
        </w:tc>
        <w:tc>
          <w:tcPr>
            <w:tcW w:w="2130" w:type="dxa"/>
            <w:vAlign w:val="center"/>
          </w:tcPr>
          <w:p w14:paraId="0B4F0471">
            <w:pPr>
              <w:bidi w:val="0"/>
              <w:jc w:val="left"/>
              <w:rPr>
                <w:rFonts w:hint="eastAsia"/>
                <w:vertAlign w:val="baseline"/>
                <w:lang w:val="en-US" w:eastAsia="zh-CN"/>
              </w:rPr>
            </w:pPr>
            <w:r>
              <w:rPr>
                <w:rFonts w:hint="eastAsia" w:ascii="宋体" w:hAnsi="宋体" w:eastAsia="宋体" w:cs="宋体"/>
                <w:color w:val="000000"/>
                <w:kern w:val="0"/>
                <w:sz w:val="24"/>
                <w:szCs w:val="24"/>
                <w:lang w:val="en-US" w:eastAsia="zh-CN" w:bidi="ar"/>
              </w:rPr>
              <w:t>《建筑设计防火规范（2018年版）》（GB 50016-2014）第3.1.1条</w:t>
            </w:r>
          </w:p>
        </w:tc>
        <w:tc>
          <w:tcPr>
            <w:tcW w:w="2550" w:type="dxa"/>
            <w:vAlign w:val="center"/>
          </w:tcPr>
          <w:p w14:paraId="3FE8CD96">
            <w:pPr>
              <w:keepNext w:val="0"/>
              <w:keepLines w:val="0"/>
              <w:widowControl/>
              <w:suppressLineNumbers w:val="0"/>
              <w:jc w:val="left"/>
              <w:rPr>
                <w:rFonts w:hint="default"/>
                <w:vertAlign w:val="baseline"/>
                <w:lang w:val="en-US" w:eastAsia="zh-CN"/>
              </w:rPr>
            </w:pPr>
            <w:r>
              <w:rPr>
                <w:rFonts w:hint="eastAsia" w:ascii="宋体" w:hAnsi="宋体" w:eastAsia="宋体" w:cs="宋体"/>
                <w:color w:val="000000"/>
                <w:kern w:val="0"/>
                <w:sz w:val="24"/>
                <w:szCs w:val="24"/>
                <w:lang w:val="en-US" w:eastAsia="zh-CN" w:bidi="ar"/>
              </w:rPr>
              <w:t>本项目生产车间为丁戊</w:t>
            </w:r>
            <w:r>
              <w:rPr>
                <w:rFonts w:hint="default" w:ascii="宋体" w:hAnsi="宋体" w:eastAsia="宋体" w:cs="宋体"/>
                <w:color w:val="000000"/>
                <w:kern w:val="0"/>
                <w:sz w:val="24"/>
                <w:szCs w:val="24"/>
                <w:lang w:val="en-US" w:eastAsia="zh-CN" w:bidi="ar"/>
              </w:rPr>
              <w:t>类</w:t>
            </w:r>
            <w:r>
              <w:rPr>
                <w:rFonts w:hint="eastAsia" w:hAnsi="宋体" w:cs="宋体"/>
                <w:color w:val="000000"/>
                <w:kern w:val="0"/>
                <w:sz w:val="24"/>
                <w:szCs w:val="24"/>
                <w:lang w:val="en-US" w:eastAsia="zh-CN" w:bidi="ar"/>
              </w:rPr>
              <w:t>。</w:t>
            </w:r>
          </w:p>
        </w:tc>
        <w:tc>
          <w:tcPr>
            <w:tcW w:w="1077" w:type="dxa"/>
            <w:vAlign w:val="center"/>
          </w:tcPr>
          <w:p w14:paraId="13BC0824">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1AD2B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3E22B929">
            <w:pPr>
              <w:bidi w:val="0"/>
              <w:jc w:val="center"/>
              <w:rPr>
                <w:rFonts w:hint="default"/>
                <w:vertAlign w:val="baseline"/>
                <w:lang w:val="en-US" w:eastAsia="zh-CN"/>
              </w:rPr>
            </w:pPr>
            <w:r>
              <w:rPr>
                <w:rFonts w:hint="eastAsia"/>
                <w:vertAlign w:val="baseline"/>
                <w:lang w:val="en-US" w:eastAsia="zh-CN"/>
              </w:rPr>
              <w:t>4</w:t>
            </w:r>
          </w:p>
        </w:tc>
        <w:tc>
          <w:tcPr>
            <w:tcW w:w="2880" w:type="dxa"/>
            <w:vAlign w:val="center"/>
          </w:tcPr>
          <w:p w14:paraId="49EA770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除本规范第 5.2.1 条和第 5.2.2 条规定的建筑外，下列工业建筑的耐火等级不应低于三级：1 甲、乙类厂房；2 单、多层丙类厂房；3 多层丁类厂房；4 单、多层丙类仓库；5 多层丁类仓库。</w:t>
            </w:r>
          </w:p>
        </w:tc>
        <w:tc>
          <w:tcPr>
            <w:tcW w:w="2130" w:type="dxa"/>
            <w:vAlign w:val="center"/>
          </w:tcPr>
          <w:p w14:paraId="140A97D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《建筑防火通用规范》（GB55037-2022）第5.2.3条</w:t>
            </w:r>
          </w:p>
        </w:tc>
        <w:tc>
          <w:tcPr>
            <w:tcW w:w="2550" w:type="dxa"/>
            <w:vAlign w:val="center"/>
          </w:tcPr>
          <w:p w14:paraId="67552108">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本项目按照二级耐火等级进行建设，符合要求。</w:t>
            </w:r>
          </w:p>
        </w:tc>
        <w:tc>
          <w:tcPr>
            <w:tcW w:w="1077" w:type="dxa"/>
            <w:vAlign w:val="center"/>
          </w:tcPr>
          <w:p w14:paraId="40CDA47A">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6C835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06CF713D">
            <w:pPr>
              <w:bidi w:val="0"/>
              <w:jc w:val="center"/>
              <w:rPr>
                <w:rFonts w:hint="default"/>
                <w:vertAlign w:val="baseline"/>
                <w:lang w:val="en-US" w:eastAsia="zh-CN"/>
              </w:rPr>
            </w:pPr>
            <w:r>
              <w:rPr>
                <w:rFonts w:hint="eastAsia"/>
                <w:vertAlign w:val="baseline"/>
                <w:lang w:val="en-US" w:eastAsia="zh-CN"/>
              </w:rPr>
              <w:t>5</w:t>
            </w:r>
          </w:p>
        </w:tc>
        <w:tc>
          <w:tcPr>
            <w:tcW w:w="2880" w:type="dxa"/>
            <w:vAlign w:val="center"/>
          </w:tcPr>
          <w:p w14:paraId="25D80AF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建筑的疏散出口数量、位置和宽度，疏散楼梯（间）的形式和宽度，避难设施的位置和面积等，应与建筑的使用功能、火灾危险性、耐火等级、建筑高度或层数、埋深、建筑面积、人员密度、人员特性等相适应。</w:t>
            </w:r>
          </w:p>
        </w:tc>
        <w:tc>
          <w:tcPr>
            <w:tcW w:w="2130" w:type="dxa"/>
            <w:vAlign w:val="center"/>
          </w:tcPr>
          <w:p w14:paraId="11DD611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《建筑防火通用规范》（GB55037-2022）第7.1.1条</w:t>
            </w:r>
          </w:p>
        </w:tc>
        <w:tc>
          <w:tcPr>
            <w:tcW w:w="2550" w:type="dxa"/>
            <w:vAlign w:val="center"/>
          </w:tcPr>
          <w:p w14:paraId="78D41C7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本项目生产厂房的疏散出口数量、位置和宽度，与建筑的使用功能、火灾危险性、耐火等级、建筑高度或层数、埋深、建筑面积、人员密度、人员特性等相适应。</w:t>
            </w:r>
          </w:p>
        </w:tc>
        <w:tc>
          <w:tcPr>
            <w:tcW w:w="1077" w:type="dxa"/>
            <w:vAlign w:val="center"/>
          </w:tcPr>
          <w:p w14:paraId="52A36FFB">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5DF8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5B2A7EE2">
            <w:pPr>
              <w:bidi w:val="0"/>
              <w:jc w:val="center"/>
              <w:rPr>
                <w:rFonts w:hint="default"/>
                <w:vertAlign w:val="baseline"/>
                <w:lang w:val="en-US" w:eastAsia="zh-CN"/>
              </w:rPr>
            </w:pPr>
            <w:r>
              <w:rPr>
                <w:rFonts w:hint="eastAsia"/>
                <w:vertAlign w:val="baseline"/>
                <w:lang w:val="en-US" w:eastAsia="zh-CN"/>
              </w:rPr>
              <w:t>6</w:t>
            </w:r>
          </w:p>
        </w:tc>
        <w:tc>
          <w:tcPr>
            <w:tcW w:w="2880" w:type="dxa"/>
            <w:vAlign w:val="center"/>
          </w:tcPr>
          <w:p w14:paraId="66EF7F9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建筑中的疏散出口应分散布置，房间疏散门应直接通向安全出口，不应经过其他房间。疏散出口的宽度和数量应满足人员安全疏散的要求。各层疏散楼梯的净宽度应符合下列规定：1 对于建筑的地上楼层，各层疏散楼梯的净宽度均不应小于其上部各层中要求疏散净宽度的最大值；2 对于建筑的地下楼层或地下建筑、平时使用的人民防空工程，各层疏散楼梯的净宽度均不应小于其下部各层中要求疏散净宽度的最大值。</w:t>
            </w:r>
          </w:p>
        </w:tc>
        <w:tc>
          <w:tcPr>
            <w:tcW w:w="2130" w:type="dxa"/>
            <w:vAlign w:val="center"/>
          </w:tcPr>
          <w:p w14:paraId="4E9927F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《建筑防火通用规范》（GB55037-2022）第7.1.</w:t>
            </w:r>
            <w:r>
              <w:rPr>
                <w:rFonts w:hint="eastAsia" w:hAnsi="宋体" w:cs="宋体"/>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条</w:t>
            </w:r>
          </w:p>
        </w:tc>
        <w:tc>
          <w:tcPr>
            <w:tcW w:w="2550" w:type="dxa"/>
            <w:vAlign w:val="center"/>
          </w:tcPr>
          <w:p w14:paraId="4227D90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主要生产厂房的疏散出口分散布置，房间疏散门直接通向安全出口，未经过其他房间。</w:t>
            </w:r>
          </w:p>
        </w:tc>
        <w:tc>
          <w:tcPr>
            <w:tcW w:w="1077" w:type="dxa"/>
            <w:vAlign w:val="center"/>
          </w:tcPr>
          <w:p w14:paraId="296CBF08">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564DE6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23BB34BC">
            <w:pPr>
              <w:bidi w:val="0"/>
              <w:jc w:val="center"/>
              <w:rPr>
                <w:rFonts w:hint="default"/>
                <w:vertAlign w:val="baseline"/>
                <w:lang w:val="en-US" w:eastAsia="zh-CN"/>
              </w:rPr>
            </w:pPr>
            <w:r>
              <w:rPr>
                <w:rFonts w:hint="eastAsia"/>
                <w:vertAlign w:val="baseline"/>
                <w:lang w:val="en-US" w:eastAsia="zh-CN"/>
              </w:rPr>
              <w:t>7</w:t>
            </w:r>
          </w:p>
        </w:tc>
        <w:tc>
          <w:tcPr>
            <w:tcW w:w="2880" w:type="dxa"/>
            <w:vAlign w:val="center"/>
          </w:tcPr>
          <w:p w14:paraId="3F7E29E0">
            <w:pPr>
              <w:keepNext w:val="0"/>
              <w:keepLines w:val="0"/>
              <w:pageBreakBefore w:val="0"/>
              <w:widowControl w:val="0"/>
              <w:suppressLineNumbers w:val="0"/>
              <w:kinsoku w:val="0"/>
              <w:wordWrap/>
              <w:overflowPunct w:val="0"/>
              <w:topLinePunct w:val="0"/>
              <w:autoSpaceDE/>
              <w:autoSpaceDN/>
              <w:bidi w:val="0"/>
              <w:adjustRightInd/>
              <w:snapToGrid/>
              <w:jc w:val="left"/>
              <w:textAlignment w:val="auto"/>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厂房内设有梁式起重机或桥式起重机时，起重机桥架外缘与上柱内缘的净距不应小于 100mm；其轨顶至屋架下弦或屋面梁底面之间的净空尺寸，应符合下列规定：1 应满足起重机的最小轮廓尺寸及起重机的限界尺寸和安全间隙的要求；2 应满足起重机检修的空间要求；3 应满足当厂房基础埋置在软弱土、湿陷性黄土、膨胀土地基上及因厂房的地面堆载使相邻柱出现沉降差时的要求；4应满足当屋架或屋面梁底面悬挂带坡度的横向管道或屋架下弦直接安装照明灯具时的要求</w:t>
            </w:r>
          </w:p>
        </w:tc>
        <w:tc>
          <w:tcPr>
            <w:tcW w:w="2130" w:type="dxa"/>
            <w:vAlign w:val="center"/>
          </w:tcPr>
          <w:p w14:paraId="18AEA68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《机械工业厂房建筑设计规范》（GB50681-2011）第 3.0.4 条</w:t>
            </w:r>
          </w:p>
        </w:tc>
        <w:tc>
          <w:tcPr>
            <w:tcW w:w="2550" w:type="dxa"/>
            <w:vAlign w:val="center"/>
          </w:tcPr>
          <w:p w14:paraId="25DA10C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本项目厂房内设有桥式起重机，起重机的设置满足使用、检维修要求。</w:t>
            </w:r>
          </w:p>
        </w:tc>
        <w:tc>
          <w:tcPr>
            <w:tcW w:w="1077" w:type="dxa"/>
            <w:vAlign w:val="center"/>
          </w:tcPr>
          <w:p w14:paraId="50FE67A5">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52A5B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6076B7A2">
            <w:pPr>
              <w:bidi w:val="0"/>
              <w:jc w:val="center"/>
              <w:rPr>
                <w:rFonts w:hint="default"/>
                <w:vertAlign w:val="baseline"/>
                <w:lang w:val="en-US" w:eastAsia="zh-CN"/>
              </w:rPr>
            </w:pPr>
            <w:r>
              <w:rPr>
                <w:rFonts w:hint="eastAsia"/>
                <w:vertAlign w:val="baseline"/>
                <w:lang w:val="en-US" w:eastAsia="zh-CN"/>
              </w:rPr>
              <w:t>8</w:t>
            </w:r>
          </w:p>
        </w:tc>
        <w:tc>
          <w:tcPr>
            <w:tcW w:w="2880" w:type="dxa"/>
            <w:vAlign w:val="center"/>
          </w:tcPr>
          <w:p w14:paraId="1E84DE2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机械工业厂房及其附属建筑，应根据生产、使用功能性质、工艺要求、节地节能、环保卫生、当地气象、水文、地质、材料供应、施工和发展扩建等条件进行设计。</w:t>
            </w:r>
          </w:p>
        </w:tc>
        <w:tc>
          <w:tcPr>
            <w:tcW w:w="2130" w:type="dxa"/>
            <w:vAlign w:val="center"/>
          </w:tcPr>
          <w:p w14:paraId="622F3AF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《机械工业厂房建筑设计规范》（GB50681-2011）第 3.0.1 条</w:t>
            </w:r>
          </w:p>
        </w:tc>
        <w:tc>
          <w:tcPr>
            <w:tcW w:w="2550" w:type="dxa"/>
            <w:vAlign w:val="center"/>
          </w:tcPr>
          <w:p w14:paraId="3D79F75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本项目厂房及其附属建筑均为租赁使用，按工业标准厂房建设，能满足安全生产要求。</w:t>
            </w:r>
          </w:p>
        </w:tc>
        <w:tc>
          <w:tcPr>
            <w:tcW w:w="1077" w:type="dxa"/>
            <w:vAlign w:val="center"/>
          </w:tcPr>
          <w:p w14:paraId="6312AF5C">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238BB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622BB016">
            <w:pPr>
              <w:bidi w:val="0"/>
              <w:jc w:val="center"/>
              <w:rPr>
                <w:rFonts w:hint="default"/>
                <w:vertAlign w:val="baseline"/>
                <w:lang w:val="en-US" w:eastAsia="zh-CN"/>
              </w:rPr>
            </w:pPr>
            <w:r>
              <w:rPr>
                <w:rFonts w:hint="eastAsia"/>
                <w:vertAlign w:val="baseline"/>
                <w:lang w:val="en-US" w:eastAsia="zh-CN"/>
              </w:rPr>
              <w:t>9</w:t>
            </w:r>
          </w:p>
        </w:tc>
        <w:tc>
          <w:tcPr>
            <w:tcW w:w="2880" w:type="dxa"/>
            <w:vAlign w:val="center"/>
          </w:tcPr>
          <w:p w14:paraId="552E702C">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厂房及其附属建筑的外墙面宜采取防龟裂、防渗漏措施。</w:t>
            </w:r>
          </w:p>
        </w:tc>
        <w:tc>
          <w:tcPr>
            <w:tcW w:w="2130" w:type="dxa"/>
            <w:vAlign w:val="center"/>
          </w:tcPr>
          <w:p w14:paraId="4E88FE3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《机械工业厂房建筑设计规范》（GB50681-2011）第 3.0.</w:t>
            </w:r>
            <w:r>
              <w:rPr>
                <w:rFonts w:hint="eastAsia" w:hAnsi="宋体" w:cs="宋体"/>
                <w:color w:val="000000"/>
                <w:kern w:val="0"/>
                <w:sz w:val="24"/>
                <w:szCs w:val="24"/>
                <w:lang w:val="en-US" w:eastAsia="zh-CN" w:bidi="ar"/>
              </w:rPr>
              <w:t>7</w:t>
            </w:r>
            <w:r>
              <w:rPr>
                <w:rFonts w:hint="eastAsia" w:ascii="宋体" w:hAnsi="宋体" w:eastAsia="宋体" w:cs="宋体"/>
                <w:color w:val="000000"/>
                <w:kern w:val="0"/>
                <w:sz w:val="24"/>
                <w:szCs w:val="24"/>
                <w:lang w:val="en-US" w:eastAsia="zh-CN" w:bidi="ar"/>
              </w:rPr>
              <w:t xml:space="preserve"> 条</w:t>
            </w:r>
          </w:p>
        </w:tc>
        <w:tc>
          <w:tcPr>
            <w:tcW w:w="2550" w:type="dxa"/>
            <w:vAlign w:val="center"/>
          </w:tcPr>
          <w:p w14:paraId="047A006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厂房外墙设置了彩钢板等防龟裂、防渗漏措施。</w:t>
            </w:r>
          </w:p>
        </w:tc>
        <w:tc>
          <w:tcPr>
            <w:tcW w:w="1077" w:type="dxa"/>
            <w:vAlign w:val="center"/>
          </w:tcPr>
          <w:p w14:paraId="14C1E2DB">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4A40E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253D5AFF">
            <w:pPr>
              <w:bidi w:val="0"/>
              <w:jc w:val="center"/>
              <w:rPr>
                <w:rFonts w:hint="default"/>
                <w:vertAlign w:val="baseline"/>
                <w:lang w:val="en-US" w:eastAsia="zh-CN"/>
              </w:rPr>
            </w:pPr>
            <w:r>
              <w:rPr>
                <w:rFonts w:hint="eastAsia"/>
                <w:vertAlign w:val="baseline"/>
                <w:lang w:val="en-US" w:eastAsia="zh-CN"/>
              </w:rPr>
              <w:t>10</w:t>
            </w:r>
          </w:p>
        </w:tc>
        <w:tc>
          <w:tcPr>
            <w:tcW w:w="2880" w:type="dxa"/>
            <w:vAlign w:val="center"/>
          </w:tcPr>
          <w:p w14:paraId="44C7112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机械工业厂房的结构型式应根据工艺要求、材料供应和施工条件等因素确定。</w:t>
            </w:r>
          </w:p>
        </w:tc>
        <w:tc>
          <w:tcPr>
            <w:tcW w:w="2130" w:type="dxa"/>
            <w:vAlign w:val="center"/>
          </w:tcPr>
          <w:p w14:paraId="10AD2D8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《机械工业厂房结构设计规范》（GB50906-2013）第 3.0.1 条</w:t>
            </w:r>
          </w:p>
        </w:tc>
        <w:tc>
          <w:tcPr>
            <w:tcW w:w="2550" w:type="dxa"/>
            <w:vAlign w:val="center"/>
          </w:tcPr>
          <w:p w14:paraId="4DA1E7E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本项目厂房的结构形式根据工艺要求、材料供应和施工条件等因素确定。</w:t>
            </w:r>
          </w:p>
        </w:tc>
        <w:tc>
          <w:tcPr>
            <w:tcW w:w="1077" w:type="dxa"/>
            <w:vAlign w:val="center"/>
          </w:tcPr>
          <w:p w14:paraId="421CE70B">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r w14:paraId="7B8E1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vAlign w:val="center"/>
          </w:tcPr>
          <w:p w14:paraId="1CB40D89">
            <w:pPr>
              <w:bidi w:val="0"/>
              <w:jc w:val="center"/>
              <w:rPr>
                <w:rFonts w:hint="default"/>
                <w:vertAlign w:val="baseline"/>
                <w:lang w:val="en-US" w:eastAsia="zh-CN"/>
              </w:rPr>
            </w:pPr>
            <w:r>
              <w:rPr>
                <w:rFonts w:hint="eastAsia"/>
                <w:vertAlign w:val="baseline"/>
                <w:lang w:val="en-US" w:eastAsia="zh-CN"/>
              </w:rPr>
              <w:t>11</w:t>
            </w:r>
          </w:p>
        </w:tc>
        <w:tc>
          <w:tcPr>
            <w:tcW w:w="2880" w:type="dxa"/>
            <w:vAlign w:val="center"/>
          </w:tcPr>
          <w:p w14:paraId="79A8E2E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钢结构厂房，起重机梁宜采用钢结构。</w:t>
            </w:r>
          </w:p>
        </w:tc>
        <w:tc>
          <w:tcPr>
            <w:tcW w:w="2130" w:type="dxa"/>
            <w:vAlign w:val="center"/>
          </w:tcPr>
          <w:p w14:paraId="74C36AE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《机械工业厂房结构设计规范》（GB50906-2013）第 </w:t>
            </w:r>
            <w:r>
              <w:rPr>
                <w:rFonts w:hint="eastAsia" w:hAnsi="宋体" w:cs="宋体"/>
                <w:color w:val="000000"/>
                <w:kern w:val="0"/>
                <w:sz w:val="24"/>
                <w:szCs w:val="24"/>
                <w:lang w:val="en-US" w:eastAsia="zh-CN" w:bidi="ar"/>
              </w:rPr>
              <w:t>9</w:t>
            </w:r>
            <w:r>
              <w:rPr>
                <w:rFonts w:hint="eastAsia" w:ascii="宋体" w:hAnsi="宋体" w:eastAsia="宋体" w:cs="宋体"/>
                <w:color w:val="000000"/>
                <w:kern w:val="0"/>
                <w:sz w:val="24"/>
                <w:szCs w:val="24"/>
                <w:lang w:val="en-US" w:eastAsia="zh-CN" w:bidi="ar"/>
              </w:rPr>
              <w:t>.</w:t>
            </w:r>
            <w:r>
              <w:rPr>
                <w:rFonts w:hint="eastAsia" w:hAnsi="宋体" w:cs="宋体"/>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w:t>
            </w:r>
            <w:r>
              <w:rPr>
                <w:rFonts w:hint="eastAsia" w:hAnsi="宋体" w:cs="宋体"/>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 xml:space="preserve"> 条</w:t>
            </w:r>
          </w:p>
        </w:tc>
        <w:tc>
          <w:tcPr>
            <w:tcW w:w="2550" w:type="dxa"/>
            <w:vAlign w:val="center"/>
          </w:tcPr>
          <w:p w14:paraId="5C27A08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本项目厂房为钢结构厂房，起重机梁为钢结构。</w:t>
            </w:r>
          </w:p>
        </w:tc>
        <w:tc>
          <w:tcPr>
            <w:tcW w:w="1077" w:type="dxa"/>
            <w:vAlign w:val="center"/>
          </w:tcPr>
          <w:p w14:paraId="38915261">
            <w:pPr>
              <w:bidi w:val="0"/>
              <w:jc w:val="center"/>
              <w:rPr>
                <w:rFonts w:hint="eastAsia"/>
                <w:vertAlign w:val="baseline"/>
                <w:lang w:val="en-US" w:eastAsia="zh-CN"/>
              </w:rPr>
            </w:pPr>
            <w:r>
              <w:rPr>
                <w:rFonts w:hint="eastAsia" w:hAnsi="宋体" w:cs="宋体"/>
                <w:b w:val="0"/>
                <w:bCs w:val="0"/>
                <w:color w:val="000000"/>
                <w:kern w:val="0"/>
                <w:sz w:val="24"/>
                <w:szCs w:val="24"/>
                <w:vertAlign w:val="baseline"/>
                <w:lang w:val="en-US" w:eastAsia="zh-CN" w:bidi="ar"/>
              </w:rPr>
              <w:t>符合</w:t>
            </w:r>
          </w:p>
        </w:tc>
      </w:tr>
    </w:tbl>
    <w:p w14:paraId="4B22CC7D">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通过对本项目建（构）筑物进行安全检查分析，本项目建（构）筑物单元符合《建筑与市政工程抗震通用规范》（GB55002-2021）、《建筑防火通用规范》（GB55037-2022）、《机械工业厂房建筑设计规范》（GB50681-2011）、《机械工业厂房结构设计规范》（GB50906-2013）等相关要求，满足安全生产要求。</w:t>
      </w:r>
    </w:p>
    <w:p w14:paraId="155A4CD9">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b/>
          <w:bCs/>
          <w:color w:val="000000"/>
          <w:kern w:val="0"/>
          <w:sz w:val="30"/>
          <w:szCs w:val="30"/>
          <w:lang w:val="en-US" w:eastAsia="zh-CN" w:bidi="ar"/>
        </w:rPr>
      </w:pPr>
      <w:bookmarkStart w:id="195" w:name="_Toc21772"/>
      <w:bookmarkStart w:id="196" w:name="_Toc203"/>
      <w:r>
        <w:rPr>
          <w:rFonts w:hint="eastAsia" w:ascii="宋体" w:hAnsi="宋体" w:eastAsia="宋体" w:cs="宋体"/>
          <w:b/>
          <w:bCs/>
          <w:color w:val="000000"/>
          <w:kern w:val="0"/>
          <w:sz w:val="30"/>
          <w:szCs w:val="30"/>
          <w:lang w:val="en-US" w:eastAsia="zh-CN" w:bidi="ar"/>
        </w:rPr>
        <w:t>5.3 生产工艺及设施设备单元</w:t>
      </w:r>
      <w:bookmarkEnd w:id="195"/>
      <w:bookmarkEnd w:id="196"/>
    </w:p>
    <w:p w14:paraId="44883A6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sz w:val="28"/>
          <w:szCs w:val="28"/>
        </w:rPr>
      </w:pPr>
      <w:bookmarkStart w:id="197" w:name="_Toc17082"/>
      <w:bookmarkStart w:id="198" w:name="_Toc1728"/>
      <w:r>
        <w:rPr>
          <w:rFonts w:hint="eastAsia" w:ascii="宋体" w:hAnsi="宋体" w:eastAsia="宋体" w:cs="宋体"/>
          <w:b/>
          <w:bCs/>
          <w:color w:val="000000"/>
          <w:kern w:val="0"/>
          <w:sz w:val="28"/>
          <w:szCs w:val="28"/>
          <w:lang w:val="en-US" w:eastAsia="zh-CN" w:bidi="ar"/>
        </w:rPr>
        <w:t>5.3.1 精加工子单元</w:t>
      </w:r>
      <w:bookmarkEnd w:id="197"/>
      <w:bookmarkEnd w:id="198"/>
    </w:p>
    <w:p w14:paraId="5D973195">
      <w:pPr>
        <w:keepNext w:val="0"/>
        <w:keepLines w:val="0"/>
        <w:widowControl/>
        <w:suppressLineNumbers w:val="0"/>
        <w:jc w:val="left"/>
      </w:pPr>
      <w:r>
        <w:rPr>
          <w:rFonts w:hint="eastAsia" w:ascii="宋体" w:hAnsi="宋体" w:eastAsia="宋体" w:cs="宋体"/>
          <w:color w:val="000000"/>
          <w:kern w:val="0"/>
          <w:sz w:val="28"/>
          <w:szCs w:val="28"/>
          <w:lang w:val="en-US" w:eastAsia="zh-CN" w:bidi="ar"/>
        </w:rPr>
        <w:t>用安全检查表法对该子单元进行分析评价，如表 5-4 所示。</w:t>
      </w:r>
      <w:r>
        <w:rPr>
          <w:rFonts w:hint="default" w:ascii="瀹嬩綋" w:hAnsi="瀹嬩綋" w:eastAsia="瀹嬩綋" w:cs="瀹嬩綋"/>
          <w:color w:val="000000"/>
          <w:kern w:val="0"/>
          <w:sz w:val="28"/>
          <w:szCs w:val="28"/>
          <w:lang w:val="en-US" w:eastAsia="zh-CN" w:bidi="ar"/>
        </w:rPr>
        <w:t xml:space="preserve"> </w:t>
      </w:r>
    </w:p>
    <w:p w14:paraId="5B618BAE">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5-4 精加工子单元安全检查表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3E5DF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F8D7E9C">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0CAFE59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119DE71B">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02A8FFA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49A54F3F">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358C4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BE09A7E">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6F8A09F3">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生产经营单位不得使用应当淘汰的危及生产安全的工艺、设备。</w:t>
            </w:r>
          </w:p>
        </w:tc>
        <w:tc>
          <w:tcPr>
            <w:tcW w:w="2376" w:type="dxa"/>
            <w:vAlign w:val="center"/>
          </w:tcPr>
          <w:p w14:paraId="415D6347">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《中华人民共和国安全生产法》第 38 条</w:t>
            </w:r>
          </w:p>
        </w:tc>
        <w:tc>
          <w:tcPr>
            <w:tcW w:w="2575" w:type="dxa"/>
            <w:vAlign w:val="center"/>
          </w:tcPr>
          <w:p w14:paraId="502F5ECD">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该项目未使用国家明令淘汰、禁止使用的危及生产安全的工艺、设备。</w:t>
            </w:r>
          </w:p>
        </w:tc>
        <w:tc>
          <w:tcPr>
            <w:tcW w:w="907" w:type="dxa"/>
            <w:vAlign w:val="center"/>
          </w:tcPr>
          <w:p w14:paraId="470AB877">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FD79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C42AAEB">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535C4B10">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生产设备(包括零部件)应有符合产品安全性能的力学特性、稳定性和可靠性。在按规定条件制造、运输、储存、安装、使用和拆除时,不应对人员造成危害。</w:t>
            </w:r>
          </w:p>
        </w:tc>
        <w:tc>
          <w:tcPr>
            <w:tcW w:w="2376" w:type="dxa"/>
            <w:vAlign w:val="center"/>
          </w:tcPr>
          <w:p w14:paraId="44AAF2D8">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《生产设备安全卫生设计总则》（GB5083-</w:t>
            </w:r>
            <w:r>
              <w:rPr>
                <w:rFonts w:hint="eastAsia" w:hAnsi="宋体" w:cs="宋体"/>
                <w:color w:val="000000"/>
                <w:kern w:val="0"/>
                <w:sz w:val="24"/>
                <w:szCs w:val="24"/>
                <w:lang w:val="en-US" w:eastAsia="zh-CN" w:bidi="ar"/>
              </w:rPr>
              <w:t>2023</w:t>
            </w:r>
            <w:r>
              <w:rPr>
                <w:rFonts w:hint="eastAsia" w:ascii="宋体" w:hAnsi="宋体" w:eastAsia="宋体" w:cs="宋体"/>
                <w:color w:val="000000"/>
                <w:kern w:val="0"/>
                <w:sz w:val="24"/>
                <w:szCs w:val="24"/>
                <w:lang w:val="en-US" w:eastAsia="zh-CN" w:bidi="ar"/>
              </w:rPr>
              <w:t>）第 4.</w:t>
            </w:r>
            <w:r>
              <w:rPr>
                <w:rFonts w:hint="eastAsia" w:hAnsi="宋体" w:cs="宋体"/>
                <w:color w:val="000000"/>
                <w:kern w:val="0"/>
                <w:sz w:val="24"/>
                <w:szCs w:val="24"/>
                <w:lang w:val="en-US" w:eastAsia="zh-CN" w:bidi="ar"/>
              </w:rPr>
              <w:t xml:space="preserve">2 </w:t>
            </w:r>
            <w:r>
              <w:rPr>
                <w:rFonts w:hint="eastAsia" w:ascii="宋体" w:hAnsi="宋体" w:eastAsia="宋体" w:cs="宋体"/>
                <w:color w:val="000000"/>
                <w:kern w:val="0"/>
                <w:sz w:val="24"/>
                <w:szCs w:val="24"/>
                <w:lang w:val="en-US" w:eastAsia="zh-CN" w:bidi="ar"/>
              </w:rPr>
              <w:t>条</w:t>
            </w:r>
          </w:p>
        </w:tc>
        <w:tc>
          <w:tcPr>
            <w:tcW w:w="2575" w:type="dxa"/>
            <w:vAlign w:val="center"/>
          </w:tcPr>
          <w:p w14:paraId="4A8766B3">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机械设备及其零部件正常。</w:t>
            </w:r>
          </w:p>
        </w:tc>
        <w:tc>
          <w:tcPr>
            <w:tcW w:w="907" w:type="dxa"/>
            <w:vAlign w:val="center"/>
          </w:tcPr>
          <w:p w14:paraId="7F7EEEA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87AA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24C8695">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2789" w:type="dxa"/>
            <w:vAlign w:val="center"/>
          </w:tcPr>
          <w:p w14:paraId="3B13CD1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在不影响使用功能的情况下,生产设备可能被人员接触到的部位及零部件不应设计成易造成人身伤害的锐角、利棱、粗糙表面和较凸出的部位。</w:t>
            </w:r>
          </w:p>
        </w:tc>
        <w:tc>
          <w:tcPr>
            <w:tcW w:w="2376" w:type="dxa"/>
            <w:vAlign w:val="center"/>
          </w:tcPr>
          <w:p w14:paraId="2F60CF8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《生产设备安全卫生设计总则》（GB5083-</w:t>
            </w:r>
            <w:r>
              <w:rPr>
                <w:rFonts w:hint="eastAsia" w:hAnsi="宋体" w:cs="宋体"/>
                <w:color w:val="000000"/>
                <w:kern w:val="0"/>
                <w:sz w:val="24"/>
                <w:szCs w:val="24"/>
                <w:lang w:val="en-US" w:eastAsia="zh-CN" w:bidi="ar"/>
              </w:rPr>
              <w:t>2023</w:t>
            </w:r>
            <w:r>
              <w:rPr>
                <w:rFonts w:hint="eastAsia" w:ascii="宋体" w:hAnsi="宋体" w:eastAsia="宋体" w:cs="宋体"/>
                <w:color w:val="000000"/>
                <w:kern w:val="0"/>
                <w:sz w:val="24"/>
                <w:szCs w:val="24"/>
                <w:lang w:val="en-US" w:eastAsia="zh-CN" w:bidi="ar"/>
              </w:rPr>
              <w:t>）第 5.4 条</w:t>
            </w:r>
          </w:p>
        </w:tc>
        <w:tc>
          <w:tcPr>
            <w:tcW w:w="2575" w:type="dxa"/>
            <w:vAlign w:val="center"/>
          </w:tcPr>
          <w:p w14:paraId="1F5226D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生产设备无明显突出部位，未见易伤人的锐角、利棱、凹凸不平的表面和较突出的部位。</w:t>
            </w:r>
          </w:p>
        </w:tc>
        <w:tc>
          <w:tcPr>
            <w:tcW w:w="907" w:type="dxa"/>
            <w:vAlign w:val="center"/>
          </w:tcPr>
          <w:p w14:paraId="280773E7">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057F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CC3E354">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2789" w:type="dxa"/>
            <w:vAlign w:val="center"/>
          </w:tcPr>
          <w:p w14:paraId="0F517BA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生产设备运行时可能触及并易造成人身伤害的可动零部件应配置安全卫生防护装置。</w:t>
            </w:r>
          </w:p>
        </w:tc>
        <w:tc>
          <w:tcPr>
            <w:tcW w:w="2376" w:type="dxa"/>
            <w:vAlign w:val="center"/>
          </w:tcPr>
          <w:p w14:paraId="479CAF6F">
            <w:pPr>
              <w:keepNext w:val="0"/>
              <w:keepLines w:val="0"/>
              <w:widowControl/>
              <w:suppressLineNumbers w:val="0"/>
              <w:jc w:val="left"/>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《生产设备安全卫生设计总则》（GB5083-</w:t>
            </w:r>
            <w:r>
              <w:rPr>
                <w:rFonts w:hint="eastAsia" w:hAnsi="宋体" w:cs="宋体"/>
                <w:color w:val="000000"/>
                <w:kern w:val="0"/>
                <w:sz w:val="24"/>
                <w:szCs w:val="24"/>
                <w:lang w:val="en-US" w:eastAsia="zh-CN" w:bidi="ar"/>
              </w:rPr>
              <w:t>2023</w:t>
            </w:r>
            <w:r>
              <w:rPr>
                <w:rFonts w:hint="eastAsia" w:ascii="宋体" w:hAnsi="宋体" w:eastAsia="宋体" w:cs="宋体"/>
                <w:color w:val="000000"/>
                <w:kern w:val="0"/>
                <w:sz w:val="24"/>
                <w:szCs w:val="24"/>
                <w:lang w:val="en-US" w:eastAsia="zh-CN" w:bidi="ar"/>
              </w:rPr>
              <w:t>）第 6.1.</w:t>
            </w:r>
            <w:r>
              <w:rPr>
                <w:rFonts w:hint="eastAsia" w:hAnsi="宋体" w:cs="宋体"/>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 xml:space="preserve"> 条</w:t>
            </w:r>
          </w:p>
        </w:tc>
        <w:tc>
          <w:tcPr>
            <w:tcW w:w="2575" w:type="dxa"/>
            <w:vAlign w:val="center"/>
          </w:tcPr>
          <w:p w14:paraId="7F1DED3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传动部位或人员可能触及的转动部位按要求设置了防护装置。 </w:t>
            </w:r>
          </w:p>
        </w:tc>
        <w:tc>
          <w:tcPr>
            <w:tcW w:w="907" w:type="dxa"/>
            <w:vAlign w:val="center"/>
          </w:tcPr>
          <w:p w14:paraId="290BAAF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24DE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78E68EA">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2789" w:type="dxa"/>
            <w:vAlign w:val="center"/>
          </w:tcPr>
          <w:p w14:paraId="64CAB77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以作业人员的操作位置所在平面为基准,凡高度在2m 之内的所有传动带、转轴、传动链、联轴节、带轮、齿轮、飞轮、链轮、电锯等外露危险零部件及危险部位,均应设置安全卫生防护装置。</w:t>
            </w:r>
          </w:p>
        </w:tc>
        <w:tc>
          <w:tcPr>
            <w:tcW w:w="2376" w:type="dxa"/>
            <w:vAlign w:val="center"/>
          </w:tcPr>
          <w:p w14:paraId="1B9A240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《生产设备安全卫生设计总则》（GB5083-</w:t>
            </w:r>
            <w:r>
              <w:rPr>
                <w:rFonts w:hint="eastAsia" w:hAnsi="宋体" w:cs="宋体"/>
                <w:color w:val="000000"/>
                <w:kern w:val="0"/>
                <w:sz w:val="24"/>
                <w:szCs w:val="24"/>
                <w:lang w:val="en-US" w:eastAsia="zh-CN" w:bidi="ar"/>
              </w:rPr>
              <w:t>2023</w:t>
            </w:r>
            <w:r>
              <w:rPr>
                <w:rFonts w:hint="eastAsia" w:ascii="宋体" w:hAnsi="宋体" w:eastAsia="宋体" w:cs="宋体"/>
                <w:color w:val="000000"/>
                <w:kern w:val="0"/>
                <w:sz w:val="24"/>
                <w:szCs w:val="24"/>
                <w:lang w:val="en-US" w:eastAsia="zh-CN" w:bidi="ar"/>
              </w:rPr>
              <w:t>）第 6.1.</w:t>
            </w:r>
            <w:r>
              <w:rPr>
                <w:rFonts w:hint="eastAsia" w:hAnsi="宋体" w:cs="宋体"/>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 xml:space="preserve"> 条</w:t>
            </w:r>
          </w:p>
        </w:tc>
        <w:tc>
          <w:tcPr>
            <w:tcW w:w="2575" w:type="dxa"/>
            <w:vAlign w:val="center"/>
          </w:tcPr>
          <w:p w14:paraId="7C145FF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传动部位或人员可能触及的转动部位按要求设置了防护装置。</w:t>
            </w:r>
          </w:p>
        </w:tc>
        <w:tc>
          <w:tcPr>
            <w:tcW w:w="907" w:type="dxa"/>
            <w:vAlign w:val="center"/>
          </w:tcPr>
          <w:p w14:paraId="5114322F">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F04B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061523B">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6</w:t>
            </w:r>
          </w:p>
        </w:tc>
        <w:tc>
          <w:tcPr>
            <w:tcW w:w="2789" w:type="dxa"/>
            <w:vAlign w:val="center"/>
          </w:tcPr>
          <w:p w14:paraId="09D3D72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生产设备上应标有设备的名称、型号等信息。生产设备易发生危险的部位应设置安全标志和警示标识,安全标志和警示标识的图形、符号、文字、颜色等应按 GB2893、GB2894和 GBZ158的规定执行。</w:t>
            </w:r>
          </w:p>
        </w:tc>
        <w:tc>
          <w:tcPr>
            <w:tcW w:w="2376" w:type="dxa"/>
            <w:vAlign w:val="center"/>
          </w:tcPr>
          <w:p w14:paraId="67647B4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《生产设备安全卫生设计总则》（GB5083-</w:t>
            </w:r>
            <w:r>
              <w:rPr>
                <w:rFonts w:hint="eastAsia" w:hAnsi="宋体" w:cs="宋体"/>
                <w:color w:val="000000"/>
                <w:kern w:val="0"/>
                <w:sz w:val="24"/>
                <w:szCs w:val="24"/>
                <w:lang w:val="en-US" w:eastAsia="zh-CN" w:bidi="ar"/>
              </w:rPr>
              <w:t>2023</w:t>
            </w:r>
            <w:r>
              <w:rPr>
                <w:rFonts w:hint="eastAsia" w:ascii="宋体" w:hAnsi="宋体" w:eastAsia="宋体" w:cs="宋体"/>
                <w:color w:val="000000"/>
                <w:kern w:val="0"/>
                <w:sz w:val="24"/>
                <w:szCs w:val="24"/>
                <w:lang w:val="en-US" w:eastAsia="zh-CN" w:bidi="ar"/>
              </w:rPr>
              <w:t>）第 7.1 条</w:t>
            </w:r>
          </w:p>
        </w:tc>
        <w:tc>
          <w:tcPr>
            <w:tcW w:w="2575" w:type="dxa"/>
            <w:vAlign w:val="center"/>
          </w:tcPr>
          <w:p w14:paraId="52C4A94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该项目生产设备易发生危险的部位设置相应的安全标志和安全标志的图形。</w:t>
            </w:r>
          </w:p>
        </w:tc>
        <w:tc>
          <w:tcPr>
            <w:tcW w:w="907" w:type="dxa"/>
            <w:vAlign w:val="center"/>
          </w:tcPr>
          <w:p w14:paraId="4CF288ED">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4834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3139E95">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7</w:t>
            </w:r>
          </w:p>
        </w:tc>
        <w:tc>
          <w:tcPr>
            <w:tcW w:w="2789" w:type="dxa"/>
            <w:vAlign w:val="center"/>
          </w:tcPr>
          <w:p w14:paraId="5F6F8909">
            <w:pPr>
              <w:keepNext w:val="0"/>
              <w:keepLines w:val="0"/>
              <w:pageBreakBefore w:val="0"/>
              <w:widowControl w:val="0"/>
              <w:suppressLineNumbers w:val="0"/>
              <w:kinsoku w:val="0"/>
              <w:wordWrap/>
              <w:overflowPunct w:val="0"/>
              <w:topLinePunct w:val="0"/>
              <w:autoSpaceDE w:val="0"/>
              <w:autoSpaceDN w:val="0"/>
              <w:bidi w:val="0"/>
              <w:adjustRightInd/>
              <w:snapToGrid/>
              <w:jc w:val="both"/>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备布置的原则：a.便于操作和维护；b.发生火灾或出现紧急情况时，便于人员撤离；c.尽量避免生产装置之间危害因素的相互影响，减小对人员的综合作用；d.布置具有潜在危险的设备时，应根据有关规定进行分散和隔离，并设置必要的提示、标志和警告。</w:t>
            </w:r>
          </w:p>
        </w:tc>
        <w:tc>
          <w:tcPr>
            <w:tcW w:w="2376" w:type="dxa"/>
            <w:vAlign w:val="center"/>
          </w:tcPr>
          <w:p w14:paraId="4B7F207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《生产过程安全卫生要求总则》（GB/T12801-2008）第 5.7.2 条</w:t>
            </w:r>
          </w:p>
        </w:tc>
        <w:tc>
          <w:tcPr>
            <w:tcW w:w="2575" w:type="dxa"/>
            <w:vAlign w:val="center"/>
          </w:tcPr>
          <w:p w14:paraId="35F9E71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设备布置符合设备布置的原则。</w:t>
            </w:r>
          </w:p>
        </w:tc>
        <w:tc>
          <w:tcPr>
            <w:tcW w:w="907" w:type="dxa"/>
            <w:vAlign w:val="center"/>
          </w:tcPr>
          <w:p w14:paraId="0BECD36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06A1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CF67506">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8</w:t>
            </w:r>
          </w:p>
        </w:tc>
        <w:tc>
          <w:tcPr>
            <w:tcW w:w="2789" w:type="dxa"/>
            <w:vAlign w:val="center"/>
          </w:tcPr>
          <w:p w14:paraId="2206D318">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凡容易发生事故的地方，应按GB2894 的要求设置安全标志，或在建构筑物及设备上按 GB2893的要求涂安全色。</w:t>
            </w:r>
          </w:p>
        </w:tc>
        <w:tc>
          <w:tcPr>
            <w:tcW w:w="2376" w:type="dxa"/>
            <w:vAlign w:val="center"/>
          </w:tcPr>
          <w:p w14:paraId="2605EB2A">
            <w:pPr>
              <w:keepNext w:val="0"/>
              <w:keepLines w:val="0"/>
              <w:pageBreakBefore w:val="0"/>
              <w:widowControl w:val="0"/>
              <w:suppressLineNumbers w:val="0"/>
              <w:kinsoku w:val="0"/>
              <w:wordWrap/>
              <w:overflowPunct w:val="0"/>
              <w:topLinePunct w:val="0"/>
              <w:autoSpaceDE w:val="0"/>
              <w:autoSpaceDN w:val="0"/>
              <w:bidi w:val="0"/>
              <w:adjustRightInd/>
              <w:snapToGrid/>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《生产过程安全卫生要求总则》（GB/T 12801-2008）</w:t>
            </w:r>
          </w:p>
          <w:p w14:paraId="666DB1E2">
            <w:pPr>
              <w:keepNext w:val="0"/>
              <w:keepLines w:val="0"/>
              <w:pageBreakBefore w:val="0"/>
              <w:widowControl w:val="0"/>
              <w:suppressLineNumbers w:val="0"/>
              <w:kinsoku w:val="0"/>
              <w:wordWrap/>
              <w:overflowPunct w:val="0"/>
              <w:topLinePunct w:val="0"/>
              <w:autoSpaceDE w:val="0"/>
              <w:autoSpaceDN w:val="0"/>
              <w:bidi w:val="0"/>
              <w:adjustRightInd/>
              <w:snapToGrid/>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6.8.1 条</w:t>
            </w:r>
          </w:p>
        </w:tc>
        <w:tc>
          <w:tcPr>
            <w:tcW w:w="2575" w:type="dxa"/>
            <w:vAlign w:val="center"/>
          </w:tcPr>
          <w:p w14:paraId="3369B32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该项目在危险性较大的岗位及生产作业区设置必要的安全警示标志。</w:t>
            </w:r>
          </w:p>
        </w:tc>
        <w:tc>
          <w:tcPr>
            <w:tcW w:w="907" w:type="dxa"/>
            <w:vAlign w:val="center"/>
          </w:tcPr>
          <w:p w14:paraId="51E32D7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B169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0CDC7FE">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9</w:t>
            </w:r>
          </w:p>
        </w:tc>
        <w:tc>
          <w:tcPr>
            <w:tcW w:w="2789" w:type="dxa"/>
            <w:vAlign w:val="center"/>
          </w:tcPr>
          <w:p w14:paraId="5D397F1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生产场所、作业点的紧急通道和出入口，应设置醒目的标志。</w:t>
            </w:r>
          </w:p>
        </w:tc>
        <w:tc>
          <w:tcPr>
            <w:tcW w:w="2376" w:type="dxa"/>
            <w:vAlign w:val="center"/>
          </w:tcPr>
          <w:p w14:paraId="2B72FCA3">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《生产过程安全卫生要求总则》（GB/T 12801-2008）</w:t>
            </w:r>
          </w:p>
          <w:p w14:paraId="559BE84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6.8.3 条</w:t>
            </w:r>
          </w:p>
        </w:tc>
        <w:tc>
          <w:tcPr>
            <w:tcW w:w="2575" w:type="dxa"/>
            <w:vAlign w:val="center"/>
          </w:tcPr>
          <w:p w14:paraId="3A5EB1EF">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设置了相应警示标识。</w:t>
            </w:r>
          </w:p>
        </w:tc>
        <w:tc>
          <w:tcPr>
            <w:tcW w:w="907" w:type="dxa"/>
            <w:vAlign w:val="center"/>
          </w:tcPr>
          <w:p w14:paraId="0B6725B7">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2C87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14E6F53">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10</w:t>
            </w:r>
          </w:p>
        </w:tc>
        <w:tc>
          <w:tcPr>
            <w:tcW w:w="2789" w:type="dxa"/>
            <w:vAlign w:val="center"/>
          </w:tcPr>
          <w:p w14:paraId="176483B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具有火灾危险的工作过程，应综合考虑防火防爆措施和报警系统，合理选择和配置消防设施。</w:t>
            </w:r>
          </w:p>
        </w:tc>
        <w:tc>
          <w:tcPr>
            <w:tcW w:w="2376" w:type="dxa"/>
            <w:vAlign w:val="center"/>
          </w:tcPr>
          <w:p w14:paraId="74D5291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《生产过程安全卫生要求总则》（GB/T 12801-2008）</w:t>
            </w:r>
          </w:p>
          <w:p w14:paraId="4FA1C61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6.3.1 条</w:t>
            </w:r>
          </w:p>
        </w:tc>
        <w:tc>
          <w:tcPr>
            <w:tcW w:w="2575" w:type="dxa"/>
            <w:vAlign w:val="center"/>
          </w:tcPr>
          <w:p w14:paraId="5D51D0A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厂房内设置了相应的消防设施。</w:t>
            </w:r>
          </w:p>
        </w:tc>
        <w:tc>
          <w:tcPr>
            <w:tcW w:w="907" w:type="dxa"/>
            <w:vAlign w:val="center"/>
          </w:tcPr>
          <w:p w14:paraId="19D092D0">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59B86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0744358">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11</w:t>
            </w:r>
          </w:p>
        </w:tc>
        <w:tc>
          <w:tcPr>
            <w:tcW w:w="2789" w:type="dxa"/>
            <w:vAlign w:val="center"/>
          </w:tcPr>
          <w:p w14:paraId="712BBAB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机床的工作场地及通道（例如，阶梯、爬梯、平台及走道）应提供扶手、踏板和必要的防滑地面，尽量减小滑倒、绊倒和跌倒的可能性。</w:t>
            </w:r>
          </w:p>
        </w:tc>
        <w:tc>
          <w:tcPr>
            <w:tcW w:w="2376" w:type="dxa"/>
            <w:vAlign w:val="center"/>
          </w:tcPr>
          <w:p w14:paraId="745529E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《机床安全 固定式</w:t>
            </w:r>
          </w:p>
          <w:p w14:paraId="385E10C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磨床》</w:t>
            </w:r>
          </w:p>
          <w:p w14:paraId="569FCD8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（GB/T40330-2021）</w:t>
            </w:r>
          </w:p>
          <w:p w14:paraId="7C84176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5.15 条</w:t>
            </w:r>
          </w:p>
        </w:tc>
        <w:tc>
          <w:tcPr>
            <w:tcW w:w="2575" w:type="dxa"/>
            <w:vAlign w:val="center"/>
          </w:tcPr>
          <w:p w14:paraId="0D886A5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本项目机床设置周边定期清扫，机床本身自带的平台、通道采用波纹地面防滑。</w:t>
            </w:r>
          </w:p>
        </w:tc>
        <w:tc>
          <w:tcPr>
            <w:tcW w:w="907" w:type="dxa"/>
            <w:vAlign w:val="center"/>
          </w:tcPr>
          <w:p w14:paraId="4080963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E368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27B9320">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bookmarkStart w:id="199" w:name="_Toc27009"/>
            <w:r>
              <w:rPr>
                <w:rFonts w:hint="eastAsia" w:hAnsi="宋体" w:cs="宋体"/>
                <w:b w:val="0"/>
                <w:bCs w:val="0"/>
                <w:color w:val="000000"/>
                <w:kern w:val="0"/>
                <w:sz w:val="24"/>
                <w:szCs w:val="24"/>
                <w:vertAlign w:val="baseline"/>
                <w:lang w:val="en-US" w:eastAsia="zh-CN" w:bidi="ar"/>
              </w:rPr>
              <w:t>12</w:t>
            </w:r>
          </w:p>
        </w:tc>
        <w:tc>
          <w:tcPr>
            <w:tcW w:w="2789" w:type="dxa"/>
            <w:vAlign w:val="center"/>
          </w:tcPr>
          <w:p w14:paraId="079BD0D0">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防护装置应符GB/T8196-2018.当固定防护装置被移除时，固定 </w:t>
            </w:r>
          </w:p>
          <w:p w14:paraId="69D87303">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防护装置固定元件应系留在防护装置上。</w:t>
            </w:r>
          </w:p>
        </w:tc>
        <w:tc>
          <w:tcPr>
            <w:tcW w:w="2376" w:type="dxa"/>
            <w:vAlign w:val="center"/>
          </w:tcPr>
          <w:p w14:paraId="5825BD6C">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《机床安全 固定式 </w:t>
            </w:r>
          </w:p>
          <w:p w14:paraId="0D343B7A">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磨床》 </w:t>
            </w:r>
          </w:p>
          <w:p w14:paraId="64440DC1">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（GB/T40330-2021） </w:t>
            </w:r>
          </w:p>
          <w:p w14:paraId="4231C566">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5.1.2.1 条</w:t>
            </w:r>
          </w:p>
        </w:tc>
        <w:tc>
          <w:tcPr>
            <w:tcW w:w="2575" w:type="dxa"/>
            <w:vAlign w:val="center"/>
          </w:tcPr>
          <w:p w14:paraId="5D12072E">
            <w:pPr>
              <w:keepNext w:val="0"/>
              <w:keepLines w:val="0"/>
              <w:pageBreakBefore w:val="0"/>
              <w:widowControl w:val="0"/>
              <w:suppressLineNumbers w:val="0"/>
              <w:kinsoku/>
              <w:wordWrap/>
              <w:overflowPunct/>
              <w:topLinePunct w:val="0"/>
              <w:autoSpaceDE/>
              <w:autoSpaceDN/>
              <w:bidi w:val="0"/>
              <w:adjustRightInd/>
              <w:snapToGrid/>
              <w:jc w:val="left"/>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现场检查时，磨床防护装置齐全，未发现有拆除或移除。</w:t>
            </w:r>
          </w:p>
        </w:tc>
        <w:tc>
          <w:tcPr>
            <w:tcW w:w="907" w:type="dxa"/>
            <w:vAlign w:val="center"/>
          </w:tcPr>
          <w:p w14:paraId="18EDABFA">
            <w:pPr>
              <w:keepNext w:val="0"/>
              <w:keepLines w:val="0"/>
              <w:widowControl/>
              <w:suppressLineNumbers w:val="0"/>
              <w:jc w:val="center"/>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21B1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10CFA4C">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13</w:t>
            </w:r>
          </w:p>
        </w:tc>
        <w:tc>
          <w:tcPr>
            <w:tcW w:w="2789" w:type="dxa"/>
            <w:vAlign w:val="center"/>
          </w:tcPr>
          <w:p w14:paraId="5F3C202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磨床应提供夹紧装置，夹持或定位工件避免出现意外的移动。应能在所有安全操作模式下打开和闭合工件夹持装置手动更换工作。</w:t>
            </w:r>
          </w:p>
        </w:tc>
        <w:tc>
          <w:tcPr>
            <w:tcW w:w="2376" w:type="dxa"/>
            <w:vAlign w:val="center"/>
          </w:tcPr>
          <w:p w14:paraId="63A16FB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《机床安全 固定式 </w:t>
            </w:r>
          </w:p>
          <w:p w14:paraId="1FED7FD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磨床》 </w:t>
            </w:r>
          </w:p>
          <w:p w14:paraId="08D9A86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（GB/T40330-2021） </w:t>
            </w:r>
          </w:p>
          <w:p w14:paraId="6BC9823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5.2.5.1 条</w:t>
            </w:r>
          </w:p>
        </w:tc>
        <w:tc>
          <w:tcPr>
            <w:tcW w:w="2575" w:type="dxa"/>
            <w:vAlign w:val="center"/>
          </w:tcPr>
          <w:p w14:paraId="20850E0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本项目使用的磨床设置有夹紧装置，夹具设置稳固，现场检查时未发现有松动现象。</w:t>
            </w:r>
          </w:p>
        </w:tc>
        <w:tc>
          <w:tcPr>
            <w:tcW w:w="907" w:type="dxa"/>
            <w:vAlign w:val="center"/>
          </w:tcPr>
          <w:p w14:paraId="17E45A87">
            <w:pPr>
              <w:keepNext w:val="0"/>
              <w:keepLines w:val="0"/>
              <w:widowControl/>
              <w:suppressLineNumbers w:val="0"/>
              <w:jc w:val="center"/>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E4FC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813CB17">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14</w:t>
            </w:r>
          </w:p>
        </w:tc>
        <w:tc>
          <w:tcPr>
            <w:tcW w:w="2789" w:type="dxa"/>
            <w:vAlign w:val="center"/>
          </w:tcPr>
          <w:p w14:paraId="2767DF1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平面磨床应在磨具旋转方向的工作区域边缘配置防止工件飞出的防护装置。</w:t>
            </w:r>
          </w:p>
        </w:tc>
        <w:tc>
          <w:tcPr>
            <w:tcW w:w="2376" w:type="dxa"/>
            <w:vAlign w:val="center"/>
          </w:tcPr>
          <w:p w14:paraId="3DA5125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《机床安全 固定式 </w:t>
            </w:r>
          </w:p>
          <w:p w14:paraId="7BE621B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磨床》 </w:t>
            </w:r>
          </w:p>
          <w:p w14:paraId="42E435C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（GB/T40330-2021） </w:t>
            </w:r>
          </w:p>
          <w:p w14:paraId="47ECFEA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5.13.3.2 条</w:t>
            </w:r>
          </w:p>
        </w:tc>
        <w:tc>
          <w:tcPr>
            <w:tcW w:w="2575" w:type="dxa"/>
            <w:vAlign w:val="center"/>
          </w:tcPr>
          <w:p w14:paraId="4DC25CA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本项目使用的平面磨床在磨具旋转方向设置了防护挡板。</w:t>
            </w:r>
          </w:p>
        </w:tc>
        <w:tc>
          <w:tcPr>
            <w:tcW w:w="907" w:type="dxa"/>
            <w:vAlign w:val="center"/>
          </w:tcPr>
          <w:p w14:paraId="287CF9E8">
            <w:pPr>
              <w:keepNext w:val="0"/>
              <w:keepLines w:val="0"/>
              <w:widowControl/>
              <w:suppressLineNumbers w:val="0"/>
              <w:jc w:val="center"/>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F36E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8F220A9">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15</w:t>
            </w:r>
          </w:p>
        </w:tc>
        <w:tc>
          <w:tcPr>
            <w:tcW w:w="2789" w:type="dxa"/>
            <w:vAlign w:val="center"/>
          </w:tcPr>
          <w:p w14:paraId="7D666CF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机床应可靠接地（或接零），在变 压 器 中 性 点 直 接 接 地 的 </w:t>
            </w:r>
          </w:p>
          <w:p w14:paraId="39EB91C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380V/220V 三相四线中，机床应做接零保护。在同一系统中，绝不允许一部分设备保护接地，另一部分设备保护接零，接地的金属主体的任何部分与主接地点之间的电阻不得大于 0.1Ω。</w:t>
            </w:r>
          </w:p>
        </w:tc>
        <w:tc>
          <w:tcPr>
            <w:tcW w:w="2376" w:type="dxa"/>
            <w:vAlign w:val="center"/>
          </w:tcPr>
          <w:p w14:paraId="77A4619F">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《数控铣床、数控加 </w:t>
            </w:r>
          </w:p>
          <w:p w14:paraId="4EB93B2F">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工中心完好要求和检 </w:t>
            </w:r>
          </w:p>
          <w:p w14:paraId="3B0C23D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查评定方法》 </w:t>
            </w:r>
          </w:p>
          <w:p w14:paraId="4E11E03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（SJ/T31027-2016） </w:t>
            </w:r>
          </w:p>
          <w:p w14:paraId="0A37AC7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3.7.7 条</w:t>
            </w:r>
          </w:p>
          <w:p w14:paraId="486C7BB9">
            <w:pPr>
              <w:keepNext w:val="0"/>
              <w:keepLines w:val="0"/>
              <w:widowControl/>
              <w:suppressLineNumbers w:val="0"/>
              <w:jc w:val="left"/>
              <w:rPr>
                <w:rFonts w:hint="eastAsia" w:ascii="宋体" w:hAnsi="宋体" w:eastAsia="宋体" w:cs="宋体"/>
                <w:color w:val="000000"/>
                <w:kern w:val="0"/>
                <w:sz w:val="24"/>
                <w:szCs w:val="24"/>
                <w:lang w:val="en-US" w:eastAsia="zh-CN" w:bidi="ar"/>
              </w:rPr>
            </w:pPr>
          </w:p>
        </w:tc>
        <w:tc>
          <w:tcPr>
            <w:tcW w:w="2575" w:type="dxa"/>
            <w:vAlign w:val="center"/>
          </w:tcPr>
          <w:p w14:paraId="2813224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本项目所使用的磨床、铣床等机床设备均按要求进行了保护接地， </w:t>
            </w:r>
          </w:p>
          <w:p w14:paraId="21BA199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且经过专业机构检测合格。</w:t>
            </w:r>
          </w:p>
        </w:tc>
        <w:tc>
          <w:tcPr>
            <w:tcW w:w="907" w:type="dxa"/>
            <w:vAlign w:val="center"/>
          </w:tcPr>
          <w:p w14:paraId="0D45CF5E">
            <w:pPr>
              <w:keepNext w:val="0"/>
              <w:keepLines w:val="0"/>
              <w:widowControl/>
              <w:suppressLineNumbers w:val="0"/>
              <w:jc w:val="center"/>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CA16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A8F1DF1">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16</w:t>
            </w:r>
          </w:p>
        </w:tc>
        <w:tc>
          <w:tcPr>
            <w:tcW w:w="2789" w:type="dxa"/>
            <w:vAlign w:val="center"/>
          </w:tcPr>
          <w:p w14:paraId="4CC5B908">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设备传动外露部位的金属或非金属罩（盖板、栏、梯）、密封罩、挡屑板等装置完整无损，牢固、 可靠。</w:t>
            </w:r>
          </w:p>
        </w:tc>
        <w:tc>
          <w:tcPr>
            <w:tcW w:w="2376" w:type="dxa"/>
            <w:vAlign w:val="center"/>
          </w:tcPr>
          <w:p w14:paraId="69C3A0F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《数控铣床、数控加 </w:t>
            </w:r>
          </w:p>
          <w:p w14:paraId="12F7B326">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工中心完好要求和检 </w:t>
            </w:r>
          </w:p>
          <w:p w14:paraId="044AE51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查评定方法》 </w:t>
            </w:r>
          </w:p>
          <w:p w14:paraId="02A87DD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（SJ/T31027-2016） </w:t>
            </w:r>
          </w:p>
          <w:p w14:paraId="42F5B28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3.9.1 条</w:t>
            </w:r>
          </w:p>
        </w:tc>
        <w:tc>
          <w:tcPr>
            <w:tcW w:w="2575" w:type="dxa"/>
            <w:vAlign w:val="center"/>
          </w:tcPr>
          <w:p w14:paraId="20F8753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现场检查时，磨床、铣床等机床设备的防护装置齐全完整，未发现松动。</w:t>
            </w:r>
          </w:p>
        </w:tc>
        <w:tc>
          <w:tcPr>
            <w:tcW w:w="907" w:type="dxa"/>
            <w:vAlign w:val="center"/>
          </w:tcPr>
          <w:p w14:paraId="210080AA">
            <w:pPr>
              <w:keepNext w:val="0"/>
              <w:keepLines w:val="0"/>
              <w:widowControl/>
              <w:suppressLineNumbers w:val="0"/>
              <w:jc w:val="center"/>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FD539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4F612F7">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17</w:t>
            </w:r>
          </w:p>
        </w:tc>
        <w:tc>
          <w:tcPr>
            <w:tcW w:w="2789" w:type="dxa"/>
            <w:vAlign w:val="center"/>
          </w:tcPr>
          <w:p w14:paraId="76C782A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各种形式的开关及限位开关动作灵敏、安全可靠。</w:t>
            </w:r>
          </w:p>
        </w:tc>
        <w:tc>
          <w:tcPr>
            <w:tcW w:w="2376" w:type="dxa"/>
            <w:vAlign w:val="center"/>
          </w:tcPr>
          <w:p w14:paraId="442DF51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《数控铣床、数控加 </w:t>
            </w:r>
          </w:p>
          <w:p w14:paraId="214A7D9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工中心完好要求和检 </w:t>
            </w:r>
          </w:p>
          <w:p w14:paraId="1264FD0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查评定方法》 </w:t>
            </w:r>
          </w:p>
          <w:p w14:paraId="56346E46">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（SJ/T31027-2016） </w:t>
            </w:r>
          </w:p>
          <w:p w14:paraId="44E9FA2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3.9.2 条</w:t>
            </w:r>
          </w:p>
          <w:p w14:paraId="45D4A7E8">
            <w:pPr>
              <w:keepNext w:val="0"/>
              <w:keepLines w:val="0"/>
              <w:widowControl/>
              <w:suppressLineNumbers w:val="0"/>
              <w:jc w:val="left"/>
              <w:rPr>
                <w:rFonts w:hint="eastAsia" w:ascii="宋体" w:hAnsi="宋体" w:eastAsia="宋体" w:cs="宋体"/>
                <w:color w:val="000000"/>
                <w:kern w:val="0"/>
                <w:sz w:val="24"/>
                <w:szCs w:val="24"/>
                <w:lang w:val="en-US" w:eastAsia="zh-CN" w:bidi="ar"/>
              </w:rPr>
            </w:pPr>
          </w:p>
        </w:tc>
        <w:tc>
          <w:tcPr>
            <w:tcW w:w="2575" w:type="dxa"/>
            <w:vAlign w:val="center"/>
          </w:tcPr>
          <w:p w14:paraId="0CA49E3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现场检查时，未发现有异常现象。</w:t>
            </w:r>
          </w:p>
        </w:tc>
        <w:tc>
          <w:tcPr>
            <w:tcW w:w="907" w:type="dxa"/>
            <w:vAlign w:val="center"/>
          </w:tcPr>
          <w:p w14:paraId="7F585EEC">
            <w:pPr>
              <w:keepNext w:val="0"/>
              <w:keepLines w:val="0"/>
              <w:widowControl/>
              <w:suppressLineNumbers w:val="0"/>
              <w:jc w:val="center"/>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47F0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AAA6A0C">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18</w:t>
            </w:r>
          </w:p>
        </w:tc>
        <w:tc>
          <w:tcPr>
            <w:tcW w:w="2789" w:type="dxa"/>
            <w:vAlign w:val="center"/>
          </w:tcPr>
          <w:p w14:paraId="716E5EB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各种联锁、夹紧、锁紧、缓冲、防松、保险等装置灵敏、完整。</w:t>
            </w:r>
          </w:p>
        </w:tc>
        <w:tc>
          <w:tcPr>
            <w:tcW w:w="2376" w:type="dxa"/>
            <w:vAlign w:val="center"/>
          </w:tcPr>
          <w:p w14:paraId="53C2B86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《数控铣床、数控加 </w:t>
            </w:r>
          </w:p>
          <w:p w14:paraId="710B5C4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工中心完好要求和检 </w:t>
            </w:r>
          </w:p>
          <w:p w14:paraId="7BD5074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查评定方法》 </w:t>
            </w:r>
          </w:p>
          <w:p w14:paraId="0E1DC45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（SJ/T31027-2016） </w:t>
            </w:r>
          </w:p>
          <w:p w14:paraId="2665ACC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3.9.3 条</w:t>
            </w:r>
          </w:p>
        </w:tc>
        <w:tc>
          <w:tcPr>
            <w:tcW w:w="2575" w:type="dxa"/>
            <w:vAlign w:val="center"/>
          </w:tcPr>
          <w:p w14:paraId="768CE568">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现场检查时，未发现有异常现象。</w:t>
            </w:r>
          </w:p>
        </w:tc>
        <w:tc>
          <w:tcPr>
            <w:tcW w:w="907" w:type="dxa"/>
            <w:vAlign w:val="center"/>
          </w:tcPr>
          <w:p w14:paraId="3FD02493">
            <w:pPr>
              <w:keepNext w:val="0"/>
              <w:keepLines w:val="0"/>
              <w:widowControl/>
              <w:suppressLineNumbers w:val="0"/>
              <w:jc w:val="center"/>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CFAB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63C3E55">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19</w:t>
            </w:r>
          </w:p>
        </w:tc>
        <w:tc>
          <w:tcPr>
            <w:tcW w:w="2789" w:type="dxa"/>
            <w:vAlign w:val="center"/>
          </w:tcPr>
          <w:p w14:paraId="47FC652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光电、感应等防护装置，防卡具脱落装置安全、可靠。</w:t>
            </w:r>
          </w:p>
        </w:tc>
        <w:tc>
          <w:tcPr>
            <w:tcW w:w="2376" w:type="dxa"/>
            <w:vAlign w:val="center"/>
          </w:tcPr>
          <w:p w14:paraId="49C6BFE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《数控铣床、数控加 </w:t>
            </w:r>
          </w:p>
          <w:p w14:paraId="5C2A526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工中心完好要求和检 </w:t>
            </w:r>
          </w:p>
          <w:p w14:paraId="6E1809B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查评定方法》 </w:t>
            </w:r>
          </w:p>
          <w:p w14:paraId="43D025F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（SJ/T31027-2016） </w:t>
            </w:r>
          </w:p>
          <w:p w14:paraId="519BF1D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3.9.4 条</w:t>
            </w:r>
          </w:p>
        </w:tc>
        <w:tc>
          <w:tcPr>
            <w:tcW w:w="2575" w:type="dxa"/>
            <w:vAlign w:val="center"/>
          </w:tcPr>
          <w:p w14:paraId="18BC485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现场检查时，未发现有异常现象。</w:t>
            </w:r>
          </w:p>
        </w:tc>
        <w:tc>
          <w:tcPr>
            <w:tcW w:w="907" w:type="dxa"/>
            <w:vAlign w:val="center"/>
          </w:tcPr>
          <w:p w14:paraId="75969D1A">
            <w:pPr>
              <w:keepNext w:val="0"/>
              <w:keepLines w:val="0"/>
              <w:widowControl/>
              <w:suppressLineNumbers w:val="0"/>
              <w:jc w:val="center"/>
              <w:rPr>
                <w:rFonts w:hint="eastAsia"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5025E214">
      <w:pPr>
        <w:keepNext w:val="0"/>
        <w:keepLines w:val="0"/>
        <w:widowControl/>
        <w:suppressLineNumbers w:val="0"/>
        <w:jc w:val="left"/>
        <w:outlineLvl w:val="2"/>
        <w:rPr>
          <w:rFonts w:hint="eastAsia" w:ascii="宋体" w:hAnsi="宋体" w:eastAsia="宋体" w:cs="宋体"/>
          <w:sz w:val="28"/>
          <w:szCs w:val="28"/>
        </w:rPr>
      </w:pPr>
      <w:bookmarkStart w:id="200" w:name="_Toc23763"/>
      <w:r>
        <w:rPr>
          <w:rFonts w:hint="eastAsia" w:ascii="宋体" w:hAnsi="宋体" w:eastAsia="宋体" w:cs="宋体"/>
          <w:b/>
          <w:bCs/>
          <w:color w:val="000000"/>
          <w:kern w:val="0"/>
          <w:sz w:val="28"/>
          <w:szCs w:val="28"/>
          <w:lang w:val="en-US" w:eastAsia="zh-CN" w:bidi="ar"/>
        </w:rPr>
        <w:t>5.3.2 组装、装配子单元</w:t>
      </w:r>
      <w:bookmarkEnd w:id="199"/>
      <w:bookmarkEnd w:id="200"/>
    </w:p>
    <w:p w14:paraId="0F44786D">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5-5 组装、装配子单元安全检查表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7DF6FC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E5E61A9">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0258345E">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280DE12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58A7780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1A7219D5">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52807C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37F0194">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6604C842">
            <w:pPr>
              <w:keepNext w:val="0"/>
              <w:keepLines w:val="0"/>
              <w:widowControl/>
              <w:suppressLineNumbers w:val="0"/>
              <w:jc w:val="left"/>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装配时的零、部件应清理干净。用于装配的加工件不应磕碰、划伤和锈蚀，加工件的配合面不应有修锉和打磨等痕迹。</w:t>
            </w:r>
          </w:p>
        </w:tc>
        <w:tc>
          <w:tcPr>
            <w:tcW w:w="2376" w:type="dxa"/>
            <w:vAlign w:val="center"/>
          </w:tcPr>
          <w:p w14:paraId="740340C2">
            <w:pPr>
              <w:keepNext w:val="0"/>
              <w:keepLines w:val="0"/>
              <w:widowControl/>
              <w:suppressLineNumbers w:val="0"/>
              <w:jc w:val="left"/>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《金属切削机床装配通用技术条件》 </w:t>
            </w:r>
          </w:p>
          <w:p w14:paraId="04BB3D42">
            <w:pPr>
              <w:keepNext w:val="0"/>
              <w:keepLines w:val="0"/>
              <w:widowControl/>
              <w:suppressLineNumbers w:val="0"/>
              <w:jc w:val="left"/>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（GB/T25373-2010） </w:t>
            </w:r>
          </w:p>
          <w:p w14:paraId="0F255898">
            <w:pPr>
              <w:keepNext w:val="0"/>
              <w:keepLines w:val="0"/>
              <w:widowControl/>
              <w:suppressLineNumbers w:val="0"/>
              <w:jc w:val="left"/>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第 3.3 条</w:t>
            </w:r>
          </w:p>
        </w:tc>
        <w:tc>
          <w:tcPr>
            <w:tcW w:w="2575" w:type="dxa"/>
            <w:vAlign w:val="center"/>
          </w:tcPr>
          <w:p w14:paraId="713793DC">
            <w:pPr>
              <w:keepNext w:val="0"/>
              <w:keepLines w:val="0"/>
              <w:widowControl/>
              <w:suppressLineNumbers w:val="0"/>
              <w:jc w:val="left"/>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本项目装配的零、部件在组装前进行了清理。</w:t>
            </w:r>
          </w:p>
        </w:tc>
        <w:tc>
          <w:tcPr>
            <w:tcW w:w="907" w:type="dxa"/>
            <w:vAlign w:val="center"/>
          </w:tcPr>
          <w:p w14:paraId="2D2BF901">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1E2F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23FCF74">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78A064C8">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机床的移动、转动部件装配后，运动应平稳、灵活、轻便，无阻滞现象。</w:t>
            </w:r>
          </w:p>
        </w:tc>
        <w:tc>
          <w:tcPr>
            <w:tcW w:w="2376" w:type="dxa"/>
            <w:vAlign w:val="center"/>
          </w:tcPr>
          <w:p w14:paraId="5610ABC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《金属切削机床 装 </w:t>
            </w:r>
          </w:p>
          <w:p w14:paraId="4A48596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配通用技术条件》 </w:t>
            </w:r>
          </w:p>
          <w:p w14:paraId="3849DE0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（GB/T25373-2010） </w:t>
            </w:r>
          </w:p>
          <w:p w14:paraId="0D800DFF">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3.6 条</w:t>
            </w:r>
          </w:p>
        </w:tc>
        <w:tc>
          <w:tcPr>
            <w:tcW w:w="2575" w:type="dxa"/>
            <w:vAlign w:val="center"/>
          </w:tcPr>
          <w:p w14:paraId="43BDA818">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现场检查时，未发现有异常。</w:t>
            </w:r>
          </w:p>
        </w:tc>
        <w:tc>
          <w:tcPr>
            <w:tcW w:w="907" w:type="dxa"/>
            <w:vAlign w:val="center"/>
          </w:tcPr>
          <w:p w14:paraId="297976B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1B3F0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EC01EBD">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2789" w:type="dxa"/>
            <w:vAlign w:val="center"/>
          </w:tcPr>
          <w:p w14:paraId="7F8C6A4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工具的危险运动零、部件的防护装置（如防护罩、盖等）不得任意拆卸。</w:t>
            </w:r>
          </w:p>
        </w:tc>
        <w:tc>
          <w:tcPr>
            <w:tcW w:w="2376" w:type="dxa"/>
            <w:vAlign w:val="center"/>
          </w:tcPr>
          <w:p w14:paraId="27448FB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《手持式电动工具的 </w:t>
            </w:r>
          </w:p>
          <w:p w14:paraId="23F2BC6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管理、使用、检查和 </w:t>
            </w:r>
          </w:p>
          <w:p w14:paraId="21DBF52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维修安全技术规程》 </w:t>
            </w:r>
          </w:p>
          <w:p w14:paraId="0D21C7F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（GB/T3787-2017） </w:t>
            </w:r>
          </w:p>
          <w:p w14:paraId="61C9414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5.1 条</w:t>
            </w:r>
          </w:p>
        </w:tc>
        <w:tc>
          <w:tcPr>
            <w:tcW w:w="2575" w:type="dxa"/>
            <w:vAlign w:val="center"/>
          </w:tcPr>
          <w:p w14:paraId="2C4CC0B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现场检查时，装配使用的手持电动工具防护装置完 </w:t>
            </w:r>
          </w:p>
          <w:p w14:paraId="2DAB79A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好。</w:t>
            </w:r>
          </w:p>
        </w:tc>
        <w:tc>
          <w:tcPr>
            <w:tcW w:w="907" w:type="dxa"/>
            <w:vAlign w:val="center"/>
          </w:tcPr>
          <w:p w14:paraId="7751E0F7">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EA42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1399B34">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2789" w:type="dxa"/>
            <w:vAlign w:val="center"/>
          </w:tcPr>
          <w:p w14:paraId="792CA42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工具的插头、插座应按规定正确接线，插头、插座中的保护接地极在任何情况下只能单独连接保护接地（PE）。严禁插头、插座内用导线直接将保护接地极与工作中性线连接起来。</w:t>
            </w:r>
          </w:p>
        </w:tc>
        <w:tc>
          <w:tcPr>
            <w:tcW w:w="2376" w:type="dxa"/>
            <w:vAlign w:val="center"/>
          </w:tcPr>
          <w:p w14:paraId="457D195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《手持式电动工具的管理、使用、检查和维修安全技术规程》 </w:t>
            </w:r>
          </w:p>
          <w:p w14:paraId="39C75C0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（GB/T3787-2017） </w:t>
            </w:r>
          </w:p>
          <w:p w14:paraId="3285442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5.4 条</w:t>
            </w:r>
          </w:p>
        </w:tc>
        <w:tc>
          <w:tcPr>
            <w:tcW w:w="2575" w:type="dxa"/>
            <w:vAlign w:val="center"/>
          </w:tcPr>
          <w:p w14:paraId="1A92DA0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现场检查时，未发现有前述不符合内容。</w:t>
            </w:r>
          </w:p>
        </w:tc>
        <w:tc>
          <w:tcPr>
            <w:tcW w:w="907" w:type="dxa"/>
            <w:vAlign w:val="center"/>
          </w:tcPr>
          <w:p w14:paraId="438B03AC">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859E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5BAB52A">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2789" w:type="dxa"/>
            <w:vAlign w:val="center"/>
          </w:tcPr>
          <w:p w14:paraId="66BEA26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工具如有绝缘损坏，电源线保护套破裂、保护接地线（PE）脱落、插头插座裂开或有损于安全的机械损伤等故障时，应立即进行修理。在未修复前，不得继续使用。</w:t>
            </w:r>
          </w:p>
        </w:tc>
        <w:tc>
          <w:tcPr>
            <w:tcW w:w="2376" w:type="dxa"/>
            <w:vAlign w:val="center"/>
          </w:tcPr>
          <w:p w14:paraId="55643E9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《手持式电动工具的管理、使用、检查和维修安全技术规程》 </w:t>
            </w:r>
          </w:p>
          <w:p w14:paraId="4C90495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（GB/T3787-2017） </w:t>
            </w:r>
          </w:p>
          <w:p w14:paraId="3354CE4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6.5 条</w:t>
            </w:r>
          </w:p>
        </w:tc>
        <w:tc>
          <w:tcPr>
            <w:tcW w:w="2575" w:type="dxa"/>
            <w:vAlign w:val="center"/>
          </w:tcPr>
          <w:p w14:paraId="7993158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现场检查时，在用的手持式电动工具均正常，未发现有损坏现象。</w:t>
            </w:r>
          </w:p>
        </w:tc>
        <w:tc>
          <w:tcPr>
            <w:tcW w:w="907" w:type="dxa"/>
            <w:vAlign w:val="center"/>
          </w:tcPr>
          <w:p w14:paraId="487C8256">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49C1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5437A27">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6</w:t>
            </w:r>
          </w:p>
        </w:tc>
        <w:tc>
          <w:tcPr>
            <w:tcW w:w="2789" w:type="dxa"/>
            <w:vAlign w:val="center"/>
          </w:tcPr>
          <w:p w14:paraId="464F77A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一、二类电动工具应配置剩余电流动作保护装置。</w:t>
            </w:r>
          </w:p>
        </w:tc>
        <w:tc>
          <w:tcPr>
            <w:tcW w:w="2376" w:type="dxa"/>
            <w:vAlign w:val="center"/>
          </w:tcPr>
          <w:p w14:paraId="410A5C3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《机械制造企业安全 </w:t>
            </w:r>
          </w:p>
          <w:p w14:paraId="4A0317A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生产标准化规范》 </w:t>
            </w:r>
          </w:p>
          <w:p w14:paraId="5480FA9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（AQ/T7009-2013） </w:t>
            </w:r>
          </w:p>
          <w:p w14:paraId="7ACA97C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4.2.9.7 条</w:t>
            </w:r>
          </w:p>
          <w:p w14:paraId="39E58A17">
            <w:pPr>
              <w:keepNext w:val="0"/>
              <w:keepLines w:val="0"/>
              <w:widowControl/>
              <w:suppressLineNumbers w:val="0"/>
              <w:jc w:val="left"/>
              <w:rPr>
                <w:rFonts w:hint="eastAsia" w:ascii="宋体" w:hAnsi="宋体" w:eastAsia="宋体" w:cs="宋体"/>
                <w:color w:val="000000"/>
                <w:kern w:val="0"/>
                <w:sz w:val="24"/>
                <w:szCs w:val="24"/>
                <w:lang w:val="en-US" w:eastAsia="zh-CN" w:bidi="ar"/>
              </w:rPr>
            </w:pPr>
          </w:p>
        </w:tc>
        <w:tc>
          <w:tcPr>
            <w:tcW w:w="2575" w:type="dxa"/>
            <w:vAlign w:val="center"/>
          </w:tcPr>
          <w:p w14:paraId="0E12910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本项目使用的手持电动工具，车间内均采用了带有漏电保护功能的开关备。</w:t>
            </w:r>
          </w:p>
          <w:p w14:paraId="69F6072E">
            <w:pPr>
              <w:keepNext w:val="0"/>
              <w:keepLines w:val="0"/>
              <w:widowControl/>
              <w:suppressLineNumbers w:val="0"/>
              <w:jc w:val="left"/>
              <w:rPr>
                <w:rFonts w:hint="eastAsia" w:ascii="宋体" w:hAnsi="宋体" w:eastAsia="宋体" w:cs="宋体"/>
                <w:color w:val="000000"/>
                <w:kern w:val="0"/>
                <w:sz w:val="24"/>
                <w:szCs w:val="24"/>
                <w:lang w:val="en-US" w:eastAsia="zh-CN" w:bidi="ar"/>
              </w:rPr>
            </w:pPr>
          </w:p>
        </w:tc>
        <w:tc>
          <w:tcPr>
            <w:tcW w:w="907" w:type="dxa"/>
            <w:vAlign w:val="center"/>
          </w:tcPr>
          <w:p w14:paraId="0DC4506B">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120F9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276DC28">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7</w:t>
            </w:r>
          </w:p>
        </w:tc>
        <w:tc>
          <w:tcPr>
            <w:tcW w:w="2789" w:type="dxa"/>
            <w:vAlign w:val="center"/>
          </w:tcPr>
          <w:p w14:paraId="0F941B8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运转小车应定位准确、夹持牢固；料架（箱、斗）应结构合理、牢固，放置应平稳。</w:t>
            </w:r>
          </w:p>
        </w:tc>
        <w:tc>
          <w:tcPr>
            <w:tcW w:w="2376" w:type="dxa"/>
            <w:vAlign w:val="center"/>
          </w:tcPr>
          <w:p w14:paraId="007CA21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《机械制造企业安全 </w:t>
            </w:r>
          </w:p>
          <w:p w14:paraId="3632753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生产标准化规范》 </w:t>
            </w:r>
          </w:p>
          <w:p w14:paraId="272CE55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（AQ/T7009-2013） </w:t>
            </w:r>
          </w:p>
          <w:p w14:paraId="1787E47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4.2.9.8 条</w:t>
            </w:r>
          </w:p>
        </w:tc>
        <w:tc>
          <w:tcPr>
            <w:tcW w:w="2575" w:type="dxa"/>
            <w:vAlign w:val="center"/>
          </w:tcPr>
          <w:p w14:paraId="5C84399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生产车间使用的转运物料板车定位准确、夹持牢固；各种配件放置平稳。</w:t>
            </w:r>
          </w:p>
        </w:tc>
        <w:tc>
          <w:tcPr>
            <w:tcW w:w="907" w:type="dxa"/>
            <w:vAlign w:val="center"/>
          </w:tcPr>
          <w:p w14:paraId="70B931C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8D26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C2B2D17">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8</w:t>
            </w:r>
          </w:p>
        </w:tc>
        <w:tc>
          <w:tcPr>
            <w:tcW w:w="2789" w:type="dxa"/>
            <w:vAlign w:val="center"/>
          </w:tcPr>
          <w:p w14:paraId="3AEFE488">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对不易搬运的物料，应设置或采用便于吊运及搬运的装置或设施。</w:t>
            </w:r>
          </w:p>
        </w:tc>
        <w:tc>
          <w:tcPr>
            <w:tcW w:w="2376" w:type="dxa"/>
            <w:vAlign w:val="center"/>
          </w:tcPr>
          <w:p w14:paraId="4DB9E55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《生产过程安全卫生 </w:t>
            </w:r>
          </w:p>
          <w:p w14:paraId="56AA7B0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要求总则》 </w:t>
            </w:r>
          </w:p>
          <w:p w14:paraId="221636C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 12801-2008） </w:t>
            </w:r>
          </w:p>
          <w:p w14:paraId="56FCCB7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5.5.2 条</w:t>
            </w:r>
          </w:p>
        </w:tc>
        <w:tc>
          <w:tcPr>
            <w:tcW w:w="2575" w:type="dxa"/>
            <w:vAlign w:val="center"/>
          </w:tcPr>
          <w:p w14:paraId="2A5B895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本项目大型配件的搬运均采用起重设备进行搬运。</w:t>
            </w:r>
          </w:p>
        </w:tc>
        <w:tc>
          <w:tcPr>
            <w:tcW w:w="907" w:type="dxa"/>
            <w:vAlign w:val="center"/>
          </w:tcPr>
          <w:p w14:paraId="1F66F51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4F509EC5">
      <w:pPr>
        <w:keepNext w:val="0"/>
        <w:keepLines w:val="0"/>
        <w:widowControl/>
        <w:suppressLineNumbers w:val="0"/>
        <w:jc w:val="left"/>
        <w:outlineLvl w:val="2"/>
        <w:rPr>
          <w:rFonts w:hint="eastAsia" w:ascii="宋体" w:hAnsi="宋体" w:eastAsia="宋体" w:cs="宋体"/>
          <w:b/>
          <w:bCs/>
          <w:color w:val="000000"/>
          <w:kern w:val="0"/>
          <w:sz w:val="28"/>
          <w:szCs w:val="28"/>
          <w:lang w:val="en-US" w:eastAsia="zh-CN" w:bidi="ar"/>
        </w:rPr>
      </w:pPr>
      <w:bookmarkStart w:id="201" w:name="_Toc12010"/>
      <w:bookmarkStart w:id="202" w:name="_Toc5940"/>
      <w:r>
        <w:rPr>
          <w:rFonts w:hint="eastAsia" w:ascii="宋体" w:hAnsi="宋体" w:eastAsia="宋体" w:cs="宋体"/>
          <w:b/>
          <w:bCs/>
          <w:color w:val="000000"/>
          <w:kern w:val="0"/>
          <w:sz w:val="28"/>
          <w:szCs w:val="28"/>
          <w:lang w:val="en-US" w:eastAsia="zh-CN" w:bidi="ar"/>
        </w:rPr>
        <w:t>5.3.3 涂油防护子单元</w:t>
      </w:r>
      <w:bookmarkEnd w:id="201"/>
      <w:bookmarkEnd w:id="202"/>
    </w:p>
    <w:p w14:paraId="69F0CCD7">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5-6 涂油防护子单元安全检查表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43CFB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38D98E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77B1E1D3">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6CA785E6">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382DF06A">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5B731F5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3AA060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6B31B9E">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0727723F">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危险性作业场所，应设置安全通道；应设应急照明、安全标志和疏散指示标志；门窗应向外开启；通道和出口应保持畅通；出入口的设置应符合有关规定。</w:t>
            </w:r>
          </w:p>
        </w:tc>
        <w:tc>
          <w:tcPr>
            <w:tcW w:w="2376" w:type="dxa"/>
            <w:vAlign w:val="center"/>
          </w:tcPr>
          <w:p w14:paraId="3B0EC8F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《生产过程安全卫生 </w:t>
            </w:r>
          </w:p>
          <w:p w14:paraId="5AB4C46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要求总则》 </w:t>
            </w:r>
          </w:p>
          <w:p w14:paraId="6ED5CC1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 12801-2008） </w:t>
            </w:r>
          </w:p>
          <w:p w14:paraId="599B0CC0">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第 5.4.6 条</w:t>
            </w:r>
          </w:p>
        </w:tc>
        <w:tc>
          <w:tcPr>
            <w:tcW w:w="2575" w:type="dxa"/>
            <w:vAlign w:val="center"/>
          </w:tcPr>
          <w:p w14:paraId="7E92882B">
            <w:pPr>
              <w:keepNext w:val="0"/>
              <w:keepLines w:val="0"/>
              <w:widowControl/>
              <w:suppressLineNumbers w:val="0"/>
              <w:jc w:val="left"/>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本项目联合厂房、大小件加工车间内均按要求设置了安全通道、应急照明、疏散指示标志和安全警示标志等。</w:t>
            </w:r>
          </w:p>
        </w:tc>
        <w:tc>
          <w:tcPr>
            <w:tcW w:w="907" w:type="dxa"/>
            <w:vAlign w:val="center"/>
          </w:tcPr>
          <w:p w14:paraId="79D255A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41D5F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E05268A">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094D227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在生产厂房和作业场地上配置的生产设备、设施、管线、电缆以及堆放的生产物料、产品和剩余物料，不应对人员、生产和运输造成危险和有害影响。</w:t>
            </w:r>
          </w:p>
        </w:tc>
        <w:tc>
          <w:tcPr>
            <w:tcW w:w="2376" w:type="dxa"/>
            <w:vAlign w:val="center"/>
          </w:tcPr>
          <w:p w14:paraId="087B757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《生产过程安全卫生 </w:t>
            </w:r>
          </w:p>
          <w:p w14:paraId="2AEFDA6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要求总则》 </w:t>
            </w:r>
          </w:p>
          <w:p w14:paraId="18EDA906">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（GB/T 12801-2008） </w:t>
            </w:r>
          </w:p>
          <w:p w14:paraId="02983B4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5.7.1 条</w:t>
            </w:r>
          </w:p>
        </w:tc>
        <w:tc>
          <w:tcPr>
            <w:tcW w:w="2575" w:type="dxa"/>
            <w:vAlign w:val="center"/>
          </w:tcPr>
          <w:p w14:paraId="2FA8AC5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本项目生产车间内按定置管理要求，合理布局和分区，留出安全通道，未对人员、生产和运输造成危险和有害影响。</w:t>
            </w:r>
          </w:p>
        </w:tc>
        <w:tc>
          <w:tcPr>
            <w:tcW w:w="907" w:type="dxa"/>
            <w:vAlign w:val="center"/>
          </w:tcPr>
          <w:p w14:paraId="4F11272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0AC2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0CF2F191">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bCs/>
                <w:color w:val="000000"/>
                <w:kern w:val="0"/>
                <w:sz w:val="24"/>
                <w:szCs w:val="24"/>
                <w:vertAlign w:val="baseline"/>
                <w:lang w:val="en-US" w:eastAsia="zh-CN" w:bidi="ar"/>
              </w:rPr>
              <w:t>起重设备</w:t>
            </w:r>
          </w:p>
        </w:tc>
      </w:tr>
      <w:tr w14:paraId="1C462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731884C">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5FF9CCA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起重机械应装设切断起重机械总电源的电源开关。</w:t>
            </w:r>
          </w:p>
        </w:tc>
        <w:tc>
          <w:tcPr>
            <w:tcW w:w="2376" w:type="dxa"/>
            <w:vAlign w:val="center"/>
          </w:tcPr>
          <w:p w14:paraId="6157E08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《起重机械安全规程 </w:t>
            </w:r>
          </w:p>
          <w:p w14:paraId="215C8C3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第 1 部分：总则》 </w:t>
            </w:r>
          </w:p>
          <w:p w14:paraId="5A0CC21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（GB/T 6067.1-2010）</w:t>
            </w:r>
          </w:p>
          <w:p w14:paraId="37B6D4C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第 6.2.1 条</w:t>
            </w:r>
          </w:p>
        </w:tc>
        <w:tc>
          <w:tcPr>
            <w:tcW w:w="2575" w:type="dxa"/>
            <w:vAlign w:val="center"/>
          </w:tcPr>
          <w:p w14:paraId="34BCEF2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lang w:val="en-US" w:eastAsia="zh-CN" w:bidi="ar"/>
              </w:rPr>
              <w:t>本项目装设有切断起重机械总电源的电源开关。</w:t>
            </w:r>
          </w:p>
        </w:tc>
        <w:tc>
          <w:tcPr>
            <w:tcW w:w="907" w:type="dxa"/>
            <w:vAlign w:val="center"/>
          </w:tcPr>
          <w:p w14:paraId="53AB5569">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E0F8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C5D8C6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560D995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每台起重机械应备有一个或多个可从操作控制站操作的紧急停止开关,当有紧急情况时，应能够停止所有运动的驱动机构。紧急停止开关动作时不应切断可能造成物品 </w:t>
            </w:r>
          </w:p>
          <w:p w14:paraId="4B8D653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坠落的动力回路(如电磁盘、气动吸持装置)。紧急停止开关应为红色,并且不能自动复位。</w:t>
            </w:r>
          </w:p>
        </w:tc>
        <w:tc>
          <w:tcPr>
            <w:tcW w:w="2376" w:type="dxa"/>
            <w:vAlign w:val="center"/>
          </w:tcPr>
          <w:p w14:paraId="63EF756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《起重机械安全规程 </w:t>
            </w:r>
          </w:p>
          <w:p w14:paraId="0FCB2A7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第 1 部分：总则》 </w:t>
            </w:r>
          </w:p>
          <w:p w14:paraId="564D630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（GB/T 6067.1-2010） </w:t>
            </w:r>
          </w:p>
          <w:p w14:paraId="613E06F2">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6.2.4 条</w:t>
            </w:r>
          </w:p>
        </w:tc>
        <w:tc>
          <w:tcPr>
            <w:tcW w:w="2575" w:type="dxa"/>
            <w:vAlign w:val="center"/>
          </w:tcPr>
          <w:p w14:paraId="3680B1D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起重机械装配有紧急 </w:t>
            </w:r>
          </w:p>
          <w:p w14:paraId="44B3C93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停止开关。</w:t>
            </w:r>
          </w:p>
          <w:p w14:paraId="10205A0D">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p>
        </w:tc>
        <w:tc>
          <w:tcPr>
            <w:tcW w:w="907" w:type="dxa"/>
            <w:vAlign w:val="center"/>
          </w:tcPr>
          <w:p w14:paraId="41F1E80F">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C6EE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BC598F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2789" w:type="dxa"/>
            <w:vAlign w:val="center"/>
          </w:tcPr>
          <w:p w14:paraId="7ECC299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控制与操作系统的设计和布置应能避免发生误操作的可能性，保证在正常使用中起重机械能安全可靠地运转。</w:t>
            </w:r>
          </w:p>
        </w:tc>
        <w:tc>
          <w:tcPr>
            <w:tcW w:w="2376" w:type="dxa"/>
            <w:vAlign w:val="center"/>
          </w:tcPr>
          <w:p w14:paraId="3B1A76D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《起重机械安全规程 </w:t>
            </w:r>
          </w:p>
          <w:p w14:paraId="202EC36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第 1 部分：总则》 </w:t>
            </w:r>
          </w:p>
          <w:p w14:paraId="122C731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（GB/T 6067.1-2010） </w:t>
            </w:r>
          </w:p>
          <w:p w14:paraId="410FA3E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7.2 条</w:t>
            </w:r>
          </w:p>
        </w:tc>
        <w:tc>
          <w:tcPr>
            <w:tcW w:w="2575" w:type="dxa"/>
            <w:vAlign w:val="center"/>
          </w:tcPr>
          <w:p w14:paraId="4D17C81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本项目起重机械控制均为地面控制，能保证在正常使用中安全可靠地运转。</w:t>
            </w:r>
          </w:p>
        </w:tc>
        <w:tc>
          <w:tcPr>
            <w:tcW w:w="907" w:type="dxa"/>
            <w:vAlign w:val="center"/>
          </w:tcPr>
          <w:p w14:paraId="67003226">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9609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0339A5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2789" w:type="dxa"/>
            <w:vAlign w:val="center"/>
          </w:tcPr>
          <w:p w14:paraId="62D7CEE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起重机械的安全防护装置应符合GB6067.1-2010中第9章的有关规定。</w:t>
            </w:r>
          </w:p>
        </w:tc>
        <w:tc>
          <w:tcPr>
            <w:tcW w:w="2376" w:type="dxa"/>
            <w:vAlign w:val="center"/>
          </w:tcPr>
          <w:p w14:paraId="10FBF420">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《起重机械安全规程 </w:t>
            </w:r>
          </w:p>
          <w:p w14:paraId="24CB47F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第 5 部分：桥式和门 </w:t>
            </w:r>
          </w:p>
          <w:p w14:paraId="355864C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式起重机》 </w:t>
            </w:r>
          </w:p>
          <w:p w14:paraId="2E141DD6">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（GB/T 6067.5-2014） </w:t>
            </w:r>
          </w:p>
          <w:p w14:paraId="1E72A79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9.1 条</w:t>
            </w:r>
          </w:p>
        </w:tc>
        <w:tc>
          <w:tcPr>
            <w:tcW w:w="2575" w:type="dxa"/>
            <w:vAlign w:val="center"/>
          </w:tcPr>
          <w:p w14:paraId="40B9FBBA">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本项目起重设备均按要求设置了起重量限制器、起升高度限位器、运行行程限位器、超速保护装置、缓冲器、端部止挡、作业 </w:t>
            </w:r>
          </w:p>
          <w:p w14:paraId="6F4D39A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报警装置、防碰撞装置等。</w:t>
            </w:r>
          </w:p>
        </w:tc>
        <w:tc>
          <w:tcPr>
            <w:tcW w:w="907" w:type="dxa"/>
            <w:vAlign w:val="center"/>
          </w:tcPr>
          <w:p w14:paraId="01E21E27">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C349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896E589">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2789" w:type="dxa"/>
            <w:vAlign w:val="center"/>
          </w:tcPr>
          <w:p w14:paraId="1C187A2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起重机的安装、改造、维修（以下简称施工）单位必须取得相应的特种设备安装改造维修许可，在许可的范围内进行施工，并且对施工安全和施工质量负责。</w:t>
            </w:r>
          </w:p>
        </w:tc>
        <w:tc>
          <w:tcPr>
            <w:tcW w:w="2376" w:type="dxa"/>
            <w:vAlign w:val="center"/>
          </w:tcPr>
          <w:p w14:paraId="2037C9D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《起重机械安全技术监察规程-桥式起重机》 </w:t>
            </w:r>
          </w:p>
          <w:p w14:paraId="66226F1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（TSG Q0002-2008） </w:t>
            </w:r>
          </w:p>
          <w:p w14:paraId="038BB92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12 条</w:t>
            </w:r>
          </w:p>
        </w:tc>
        <w:tc>
          <w:tcPr>
            <w:tcW w:w="2575" w:type="dxa"/>
            <w:vAlign w:val="center"/>
          </w:tcPr>
          <w:p w14:paraId="364CEB7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本项目使用的起重机械的安装、维修均由有资质的单位进行施工作业。</w:t>
            </w:r>
          </w:p>
        </w:tc>
        <w:tc>
          <w:tcPr>
            <w:tcW w:w="907" w:type="dxa"/>
            <w:vAlign w:val="center"/>
          </w:tcPr>
          <w:p w14:paraId="577CB09D">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8830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99AC4B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6</w:t>
            </w:r>
          </w:p>
        </w:tc>
        <w:tc>
          <w:tcPr>
            <w:tcW w:w="2789" w:type="dxa"/>
            <w:vAlign w:val="center"/>
          </w:tcPr>
          <w:p w14:paraId="2D1D85E8">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起重机均必须设置起重量限制器，当载荷超过规定的设定值时应当能自动切断起升动力源。</w:t>
            </w:r>
          </w:p>
        </w:tc>
        <w:tc>
          <w:tcPr>
            <w:tcW w:w="2376" w:type="dxa"/>
            <w:vAlign w:val="center"/>
          </w:tcPr>
          <w:p w14:paraId="67C3414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《起重机械安全技术 </w:t>
            </w:r>
          </w:p>
          <w:p w14:paraId="76B111E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监察规程-桥式起重 </w:t>
            </w:r>
          </w:p>
          <w:p w14:paraId="2D54D2D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机》 </w:t>
            </w:r>
          </w:p>
          <w:p w14:paraId="30626359">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（TSG Q0002-2008） </w:t>
            </w:r>
          </w:p>
          <w:p w14:paraId="1B37EBEB">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69 条</w:t>
            </w:r>
          </w:p>
        </w:tc>
        <w:tc>
          <w:tcPr>
            <w:tcW w:w="2575" w:type="dxa"/>
            <w:vAlign w:val="center"/>
          </w:tcPr>
          <w:p w14:paraId="32F7A99C">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本项目起重设备均设置有起重量限制器。</w:t>
            </w:r>
          </w:p>
        </w:tc>
        <w:tc>
          <w:tcPr>
            <w:tcW w:w="907" w:type="dxa"/>
            <w:vAlign w:val="center"/>
          </w:tcPr>
          <w:p w14:paraId="5362C5FB">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B582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09B84E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7</w:t>
            </w:r>
          </w:p>
        </w:tc>
        <w:tc>
          <w:tcPr>
            <w:tcW w:w="2789" w:type="dxa"/>
            <w:vAlign w:val="center"/>
          </w:tcPr>
          <w:p w14:paraId="7E875815">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在用起重机械定期检验周期如下: (1)塔式起重机、升降机、流动式起重机，每年1次； </w:t>
            </w:r>
          </w:p>
          <w:p w14:paraId="4B416341">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(2)桥式起重机、门式起重机、门座式起重机、缆索式起重机、桅杆式起重机、机械式停车设备，每2年1次，其中涉及吊运熔融金属的起重 </w:t>
            </w:r>
          </w:p>
          <w:p w14:paraId="7739C77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机，每年1次。</w:t>
            </w:r>
          </w:p>
        </w:tc>
        <w:tc>
          <w:tcPr>
            <w:tcW w:w="2376" w:type="dxa"/>
            <w:vAlign w:val="center"/>
          </w:tcPr>
          <w:p w14:paraId="1018BF93">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《起重机械定期检验 </w:t>
            </w:r>
          </w:p>
          <w:p w14:paraId="5CA715B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规则》 </w:t>
            </w:r>
          </w:p>
          <w:p w14:paraId="34107C1E">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sz w:val="24"/>
                <w:szCs w:val="24"/>
              </w:rPr>
            </w:pPr>
            <w:r>
              <w:rPr>
                <w:rFonts w:hint="eastAsia" w:ascii="宋体" w:hAnsi="宋体" w:eastAsia="宋体" w:cs="宋体"/>
                <w:b w:val="0"/>
                <w:bCs w:val="0"/>
                <w:color w:val="000000"/>
                <w:kern w:val="0"/>
                <w:sz w:val="24"/>
                <w:szCs w:val="24"/>
                <w:lang w:val="en-US" w:eastAsia="zh-CN" w:bidi="ar"/>
              </w:rPr>
              <w:t xml:space="preserve">（TSGQ7015-2016） </w:t>
            </w:r>
          </w:p>
          <w:p w14:paraId="37ACF68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第 4 条</w:t>
            </w:r>
          </w:p>
        </w:tc>
        <w:tc>
          <w:tcPr>
            <w:tcW w:w="2575" w:type="dxa"/>
            <w:vAlign w:val="center"/>
          </w:tcPr>
          <w:p w14:paraId="124E19B7">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本项目内使用的起重机械为桥式起重机，检验周期为每2年1次。</w:t>
            </w:r>
          </w:p>
        </w:tc>
        <w:tc>
          <w:tcPr>
            <w:tcW w:w="907" w:type="dxa"/>
            <w:vAlign w:val="center"/>
          </w:tcPr>
          <w:p w14:paraId="1702A1A6">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3388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1BA4E22">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8</w:t>
            </w:r>
          </w:p>
        </w:tc>
        <w:tc>
          <w:tcPr>
            <w:tcW w:w="2789" w:type="dxa"/>
            <w:vAlign w:val="center"/>
          </w:tcPr>
          <w:p w14:paraId="1733CA4D">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吊钩应当设置防止吊物意外脱钩的闭锁装置，严禁使用铸造吊钩。</w:t>
            </w:r>
          </w:p>
        </w:tc>
        <w:tc>
          <w:tcPr>
            <w:tcW w:w="2376" w:type="dxa"/>
            <w:vAlign w:val="center"/>
          </w:tcPr>
          <w:p w14:paraId="26BAEE5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《起重机械安全技术 </w:t>
            </w:r>
          </w:p>
          <w:p w14:paraId="3748E5B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监察规程-桥式起重 </w:t>
            </w:r>
          </w:p>
          <w:p w14:paraId="2CA9B89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机》 </w:t>
            </w:r>
          </w:p>
          <w:p w14:paraId="4998F7D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（TSG Q0002-2008） </w:t>
            </w:r>
          </w:p>
          <w:p w14:paraId="64629ADF">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40 条</w:t>
            </w:r>
          </w:p>
        </w:tc>
        <w:tc>
          <w:tcPr>
            <w:tcW w:w="2575" w:type="dxa"/>
            <w:vAlign w:val="center"/>
          </w:tcPr>
          <w:p w14:paraId="72FD2E1F">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sz w:val="24"/>
                <w:szCs w:val="24"/>
                <w:vertAlign w:val="baseline"/>
                <w:lang w:val="en-US" w:eastAsia="zh-CN"/>
              </w:rPr>
              <w:t>吊带磨损严重；部分无吊钩防脱钩装置。</w:t>
            </w:r>
          </w:p>
        </w:tc>
        <w:tc>
          <w:tcPr>
            <w:tcW w:w="907" w:type="dxa"/>
            <w:vAlign w:val="center"/>
          </w:tcPr>
          <w:p w14:paraId="22BC5F3B">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不符合</w:t>
            </w:r>
          </w:p>
        </w:tc>
      </w:tr>
      <w:tr w14:paraId="682FF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3FB9BEC7">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bCs/>
                <w:color w:val="000000"/>
                <w:kern w:val="0"/>
                <w:sz w:val="24"/>
                <w:szCs w:val="24"/>
                <w:lang w:val="en-US" w:eastAsia="zh-CN" w:bidi="ar"/>
              </w:rPr>
              <w:t>压力容器</w:t>
            </w:r>
          </w:p>
        </w:tc>
      </w:tr>
      <w:tr w14:paraId="4B645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D858C17">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themeColor="text1"/>
                <w:kern w:val="0"/>
                <w:sz w:val="24"/>
                <w:szCs w:val="24"/>
                <w:shd w:val="clear" w:color="auto" w:fill="auto"/>
                <w:vertAlign w:val="baseline"/>
                <w:lang w:val="en-US" w:eastAsia="zh-CN" w:bidi="ar"/>
                <w14:textFill>
                  <w14:solidFill>
                    <w14:schemeClr w14:val="tx1"/>
                  </w14:solidFill>
                </w14:textFill>
              </w:rPr>
            </w:pPr>
            <w:r>
              <w:rPr>
                <w:rFonts w:hint="eastAsia" w:ascii="宋体" w:hAnsi="宋体" w:eastAsia="宋体" w:cs="宋体"/>
                <w:b w:val="0"/>
                <w:bCs w:val="0"/>
                <w:color w:val="000000" w:themeColor="text1"/>
                <w:kern w:val="0"/>
                <w:sz w:val="24"/>
                <w:szCs w:val="24"/>
                <w:shd w:val="clear" w:color="auto" w:fill="auto"/>
                <w:vertAlign w:val="baseline"/>
                <w:lang w:val="en-US" w:eastAsia="zh-CN" w:bidi="ar"/>
                <w14:textFill>
                  <w14:solidFill>
                    <w14:schemeClr w14:val="tx1"/>
                  </w14:solidFill>
                </w14:textFill>
              </w:rPr>
              <w:t>1</w:t>
            </w:r>
          </w:p>
        </w:tc>
        <w:tc>
          <w:tcPr>
            <w:tcW w:w="2789" w:type="dxa"/>
            <w:vAlign w:val="center"/>
          </w:tcPr>
          <w:p w14:paraId="07090389">
            <w:pPr>
              <w:keepNext w:val="0"/>
              <w:keepLines w:val="0"/>
              <w:widowControl/>
              <w:suppressLineNumbers w:val="0"/>
              <w:jc w:val="left"/>
              <w:rPr>
                <w:rFonts w:hint="eastAsia" w:ascii="宋体" w:hAnsi="宋体" w:eastAsia="宋体" w:cs="宋体"/>
                <w:color w:val="000000" w:themeColor="text1"/>
                <w:sz w:val="24"/>
                <w:szCs w:val="24"/>
                <w:shd w:val="clear" w:color="auto" w:fill="auto"/>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 xml:space="preserve">使用单位应当按照规定在压力容器投入使用前或者投入使用后 30 日内，向所在地负责特种设备使用登记的部门（以下简称使用登记机关）申请办理《特种设备使用登 </w:t>
            </w:r>
          </w:p>
          <w:p w14:paraId="6495889C">
            <w:pPr>
              <w:keepNext w:val="0"/>
              <w:keepLines w:val="0"/>
              <w:widowControl/>
              <w:suppressLineNumbers w:val="0"/>
              <w:jc w:val="left"/>
              <w:rPr>
                <w:rFonts w:hint="eastAsia" w:ascii="宋体" w:hAnsi="宋体" w:eastAsia="宋体" w:cs="宋体"/>
                <w:b w:val="0"/>
                <w:bCs w:val="0"/>
                <w:color w:val="000000" w:themeColor="text1"/>
                <w:kern w:val="0"/>
                <w:sz w:val="24"/>
                <w:szCs w:val="24"/>
                <w:shd w:val="clear" w:color="auto" w:fill="auto"/>
                <w:lang w:val="en-US" w:eastAsia="zh-CN" w:bidi="ar"/>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记证》。</w:t>
            </w:r>
          </w:p>
        </w:tc>
        <w:tc>
          <w:tcPr>
            <w:tcW w:w="2376" w:type="dxa"/>
            <w:vAlign w:val="center"/>
          </w:tcPr>
          <w:p w14:paraId="259CAA73">
            <w:pPr>
              <w:keepNext w:val="0"/>
              <w:keepLines w:val="0"/>
              <w:widowControl/>
              <w:suppressLineNumbers w:val="0"/>
              <w:jc w:val="left"/>
              <w:rPr>
                <w:rFonts w:hint="eastAsia" w:ascii="宋体" w:hAnsi="宋体" w:eastAsia="宋体" w:cs="宋体"/>
                <w:color w:val="000000" w:themeColor="text1"/>
                <w:sz w:val="24"/>
                <w:szCs w:val="24"/>
                <w:shd w:val="clear" w:color="auto" w:fill="auto"/>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 xml:space="preserve">全技术监察规程（第 </w:t>
            </w:r>
          </w:p>
          <w:p w14:paraId="63365294">
            <w:pPr>
              <w:keepNext w:val="0"/>
              <w:keepLines w:val="0"/>
              <w:widowControl/>
              <w:suppressLineNumbers w:val="0"/>
              <w:jc w:val="left"/>
              <w:rPr>
                <w:rFonts w:hint="eastAsia" w:ascii="宋体" w:hAnsi="宋体" w:eastAsia="宋体" w:cs="宋体"/>
                <w:color w:val="000000" w:themeColor="text1"/>
                <w:sz w:val="24"/>
                <w:szCs w:val="24"/>
                <w:shd w:val="clear" w:color="auto" w:fill="auto"/>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 xml:space="preserve">1 号修改单）》（TSG </w:t>
            </w:r>
          </w:p>
          <w:p w14:paraId="3DABB533">
            <w:pPr>
              <w:keepNext w:val="0"/>
              <w:keepLines w:val="0"/>
              <w:widowControl/>
              <w:suppressLineNumbers w:val="0"/>
              <w:jc w:val="left"/>
              <w:rPr>
                <w:rFonts w:hint="eastAsia" w:ascii="宋体" w:hAnsi="宋体" w:eastAsia="宋体" w:cs="宋体"/>
                <w:color w:val="000000" w:themeColor="text1"/>
                <w:sz w:val="24"/>
                <w:szCs w:val="24"/>
                <w:shd w:val="clear" w:color="auto" w:fill="auto"/>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 xml:space="preserve">21-2016/XG1-2020） </w:t>
            </w:r>
          </w:p>
          <w:p w14:paraId="5C7AB080">
            <w:pPr>
              <w:keepNext w:val="0"/>
              <w:keepLines w:val="0"/>
              <w:widowControl/>
              <w:suppressLineNumbers w:val="0"/>
              <w:jc w:val="left"/>
              <w:rPr>
                <w:rFonts w:hint="eastAsia" w:ascii="宋体" w:hAnsi="宋体" w:eastAsia="宋体" w:cs="宋体"/>
                <w:b w:val="0"/>
                <w:bCs w:val="0"/>
                <w:color w:val="000000" w:themeColor="text1"/>
                <w:kern w:val="0"/>
                <w:sz w:val="24"/>
                <w:szCs w:val="24"/>
                <w:shd w:val="clear" w:color="auto" w:fill="auto"/>
                <w:lang w:val="en-US" w:eastAsia="zh-CN" w:bidi="ar"/>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第 7.1.2 条</w:t>
            </w:r>
          </w:p>
        </w:tc>
        <w:tc>
          <w:tcPr>
            <w:tcW w:w="2575" w:type="dxa"/>
            <w:vAlign w:val="center"/>
          </w:tcPr>
          <w:p w14:paraId="66A38DAA">
            <w:pPr>
              <w:keepNext w:val="0"/>
              <w:keepLines w:val="0"/>
              <w:pageBreakBefore w:val="0"/>
              <w:widowControl w:val="0"/>
              <w:kinsoku/>
              <w:wordWrap/>
              <w:overflowPunct/>
              <w:topLinePunct w:val="0"/>
              <w:autoSpaceDE/>
              <w:autoSpaceDN/>
              <w:bidi w:val="0"/>
              <w:adjustRightInd/>
              <w:snapToGrid/>
              <w:textAlignment w:val="auto"/>
            </w:pPr>
            <w:r>
              <w:rPr>
                <w:lang w:val="en-US" w:eastAsia="zh-CN"/>
              </w:rPr>
              <w:t xml:space="preserve">本项目压力容器主要 </w:t>
            </w:r>
          </w:p>
          <w:p w14:paraId="4AB95FE0">
            <w:pPr>
              <w:keepNext w:val="0"/>
              <w:keepLines w:val="0"/>
              <w:pageBreakBefore w:val="0"/>
              <w:widowControl w:val="0"/>
              <w:kinsoku/>
              <w:wordWrap/>
              <w:overflowPunct/>
              <w:topLinePunct w:val="0"/>
              <w:autoSpaceDE/>
              <w:autoSpaceDN/>
              <w:bidi w:val="0"/>
              <w:adjustRightInd/>
              <w:snapToGrid/>
              <w:textAlignment w:val="auto"/>
              <w:rPr>
                <w:rFonts w:hint="eastAsia" w:ascii="宋体" w:hAnsi="宋体" w:eastAsia="宋体" w:cs="宋体"/>
                <w:b w:val="0"/>
                <w:bCs w:val="0"/>
                <w:color w:val="0000FF"/>
                <w:kern w:val="0"/>
                <w:sz w:val="24"/>
                <w:szCs w:val="24"/>
                <w:shd w:val="clear" w:color="FFFFFF" w:fill="D9D9D9"/>
                <w:lang w:val="en-US" w:eastAsia="zh-CN" w:bidi="ar"/>
              </w:rPr>
            </w:pPr>
            <w:r>
              <w:rPr>
                <w:rFonts w:hint="default"/>
                <w:lang w:val="en-US" w:eastAsia="zh-CN"/>
              </w:rPr>
              <w:t>为储气罐</w:t>
            </w:r>
            <w:r>
              <w:rPr>
                <w:rFonts w:hint="eastAsia"/>
                <w:lang w:val="en-US" w:eastAsia="zh-CN"/>
              </w:rPr>
              <w:t>,</w:t>
            </w:r>
            <w:r>
              <w:rPr>
                <w:lang w:val="en-US" w:eastAsia="zh-CN"/>
              </w:rPr>
              <w:t>储气罐属于</w:t>
            </w:r>
            <w:r>
              <w:rPr>
                <w:rFonts w:hint="eastAsia"/>
                <w:lang w:val="en-US" w:eastAsia="zh-CN"/>
              </w:rPr>
              <w:t>简单</w:t>
            </w:r>
            <w:r>
              <w:rPr>
                <w:lang w:val="en-US" w:eastAsia="zh-CN"/>
              </w:rPr>
              <w:t>压</w:t>
            </w:r>
            <w:r>
              <w:rPr>
                <w:rFonts w:hint="default"/>
                <w:lang w:val="en-US" w:eastAsia="zh-CN"/>
              </w:rPr>
              <w:t>力容器</w:t>
            </w:r>
            <w:r>
              <w:rPr>
                <w:rFonts w:hint="eastAsia"/>
                <w:lang w:val="en-US" w:eastAsia="zh-CN"/>
              </w:rPr>
              <w:t>。</w:t>
            </w:r>
          </w:p>
        </w:tc>
        <w:tc>
          <w:tcPr>
            <w:tcW w:w="907" w:type="dxa"/>
            <w:shd w:val="clear" w:color="auto" w:fill="auto"/>
            <w:vAlign w:val="center"/>
          </w:tcPr>
          <w:p w14:paraId="1B25A883">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F0F1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B19EB9E">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6C50E02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使用单位应当在压力容器定期检验有效期届满的1个月以前，向特种设备检验机构提出定期检验申请，并且做好定期检验相关的准备工作。定期检验完成后，由使用单 </w:t>
            </w:r>
          </w:p>
          <w:p w14:paraId="2E32C63C">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位组织对压力容器进行管道连接、密封、附件（含安全附件及仪表）和内件安装等工作，并且对其安全性负责。</w:t>
            </w:r>
          </w:p>
        </w:tc>
        <w:tc>
          <w:tcPr>
            <w:tcW w:w="2376" w:type="dxa"/>
            <w:vAlign w:val="center"/>
          </w:tcPr>
          <w:p w14:paraId="118B625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《固定式压力容器安 </w:t>
            </w:r>
          </w:p>
          <w:p w14:paraId="3F4DAB2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全技术监察规程（第</w:t>
            </w:r>
          </w:p>
          <w:p w14:paraId="6A511D7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1 号修改单）》（TSG </w:t>
            </w:r>
          </w:p>
          <w:p w14:paraId="132802F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21-2016/XG1-2020） </w:t>
            </w:r>
          </w:p>
          <w:p w14:paraId="6384001C">
            <w:pPr>
              <w:keepNext w:val="0"/>
              <w:keepLines w:val="0"/>
              <w:widowControl/>
              <w:suppressLineNumbers w:val="0"/>
              <w:jc w:val="left"/>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7.1.6 条</w:t>
            </w:r>
          </w:p>
        </w:tc>
        <w:tc>
          <w:tcPr>
            <w:tcW w:w="2575" w:type="dxa"/>
            <w:vAlign w:val="center"/>
          </w:tcPr>
          <w:p w14:paraId="7621F74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在用的压力容器均在 </w:t>
            </w:r>
          </w:p>
          <w:p w14:paraId="6A0933FC">
            <w:pPr>
              <w:keepNext w:val="0"/>
              <w:keepLines w:val="0"/>
              <w:widowControl/>
              <w:suppressLineNumbers w:val="0"/>
              <w:jc w:val="left"/>
              <w:rPr>
                <w:rFonts w:hint="default" w:ascii="宋体" w:hAnsi="宋体" w:eastAsia="宋体" w:cs="宋体"/>
                <w:b w:val="0"/>
                <w:bCs w:val="0"/>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检测检验有效期内。</w:t>
            </w:r>
          </w:p>
        </w:tc>
        <w:tc>
          <w:tcPr>
            <w:tcW w:w="907" w:type="dxa"/>
            <w:vAlign w:val="center"/>
          </w:tcPr>
          <w:p w14:paraId="52AC4D26">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C3627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712CF33">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2789" w:type="dxa"/>
            <w:vAlign w:val="center"/>
          </w:tcPr>
          <w:p w14:paraId="4B910A7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通用要求 </w:t>
            </w:r>
          </w:p>
          <w:p w14:paraId="215DC9A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（1）制造安全阀、爆破片装置的单位应当持有相应的特种设备制造许可证； </w:t>
            </w:r>
          </w:p>
          <w:p w14:paraId="62B6619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（2）安全阀、爆破片、紧急切断阀等需要型式试验的安全附件，应当经过国家质检总局核准的型式试验机构进行型式试验并且取得型式试 </w:t>
            </w:r>
          </w:p>
          <w:p w14:paraId="3567F0C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验证明文件； </w:t>
            </w:r>
          </w:p>
          <w:p w14:paraId="2175D13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（3）安全附件的设计、制造，应当符合相关安全技术规范的规定； </w:t>
            </w:r>
          </w:p>
          <w:p w14:paraId="7230BF7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（4）安全附件出厂时应当随带产品质量证明文件，并且在产品上装设牢固的金属铭牌； </w:t>
            </w:r>
          </w:p>
          <w:p w14:paraId="605C7CE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（5）安全附件实行定期检验制度，安全附件的定期检验按照本规程与相关安全技术规范的规定进行。</w:t>
            </w:r>
          </w:p>
        </w:tc>
        <w:tc>
          <w:tcPr>
            <w:tcW w:w="2376" w:type="dxa"/>
            <w:vAlign w:val="center"/>
          </w:tcPr>
          <w:p w14:paraId="2EC34C0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《固定式压力容器安 </w:t>
            </w:r>
          </w:p>
          <w:p w14:paraId="7AF0D19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全技术监察规程（第 </w:t>
            </w:r>
          </w:p>
          <w:p w14:paraId="339FEDC6">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1 号修改单）》（TSG </w:t>
            </w:r>
          </w:p>
          <w:p w14:paraId="28276D0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21-2016/XG1-2020） </w:t>
            </w:r>
          </w:p>
          <w:p w14:paraId="3E806CF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9.1.1 条</w:t>
            </w:r>
          </w:p>
        </w:tc>
        <w:tc>
          <w:tcPr>
            <w:tcW w:w="2575" w:type="dxa"/>
            <w:vAlign w:val="center"/>
          </w:tcPr>
          <w:p w14:paraId="52442327">
            <w:pPr>
              <w:keepNext w:val="0"/>
              <w:keepLines w:val="0"/>
              <w:widowControl/>
              <w:suppressLineNumbers w:val="0"/>
              <w:jc w:val="left"/>
              <w:rPr>
                <w:rFonts w:hint="default" w:ascii="宋体" w:hAnsi="宋体" w:eastAsia="宋体" w:cs="宋体"/>
                <w:color w:val="000000"/>
                <w:kern w:val="0"/>
                <w:sz w:val="24"/>
                <w:szCs w:val="24"/>
                <w:lang w:val="en-US" w:eastAsia="zh-CN" w:bidi="ar"/>
              </w:rPr>
            </w:pPr>
            <w:r>
              <w:rPr>
                <w:rFonts w:hint="eastAsia" w:ascii="宋体" w:hAnsi="宋体" w:eastAsia="宋体" w:cs="宋体"/>
                <w:color w:val="0000FF"/>
                <w:kern w:val="0"/>
                <w:sz w:val="24"/>
                <w:szCs w:val="24"/>
                <w:shd w:val="clear" w:color="FFFFFF" w:fill="D9D9D9"/>
                <w:lang w:val="en-US" w:eastAsia="zh-CN" w:bidi="ar"/>
              </w:rPr>
              <w:t>空气储罐安全阀未校验、未装压力表。</w:t>
            </w:r>
          </w:p>
        </w:tc>
        <w:tc>
          <w:tcPr>
            <w:tcW w:w="907" w:type="dxa"/>
            <w:vAlign w:val="center"/>
          </w:tcPr>
          <w:p w14:paraId="747D5A86">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不符合</w:t>
            </w:r>
          </w:p>
        </w:tc>
      </w:tr>
      <w:tr w14:paraId="3FC1F1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0DF2D63">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2789" w:type="dxa"/>
            <w:vAlign w:val="center"/>
          </w:tcPr>
          <w:p w14:paraId="26126C0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安全阀、爆破片的排放能力，应当大于或者等于压力容器的安全泄放量。</w:t>
            </w:r>
          </w:p>
        </w:tc>
        <w:tc>
          <w:tcPr>
            <w:tcW w:w="2376" w:type="dxa"/>
            <w:vAlign w:val="center"/>
          </w:tcPr>
          <w:p w14:paraId="51459D0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《固定式压力容器安 </w:t>
            </w:r>
          </w:p>
          <w:p w14:paraId="61CD01E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全技术监察规程（第 </w:t>
            </w:r>
          </w:p>
          <w:p w14:paraId="6596D1C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1 号修改单）》（TSG </w:t>
            </w:r>
          </w:p>
          <w:p w14:paraId="0DA44BF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21-2016/XG1-2020） </w:t>
            </w:r>
          </w:p>
          <w:p w14:paraId="73EDAAC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9.1.4.1 条</w:t>
            </w:r>
          </w:p>
        </w:tc>
        <w:tc>
          <w:tcPr>
            <w:tcW w:w="2575" w:type="dxa"/>
            <w:vAlign w:val="center"/>
          </w:tcPr>
          <w:p w14:paraId="12A50335">
            <w:pPr>
              <w:keepNext w:val="0"/>
              <w:keepLines w:val="0"/>
              <w:widowControl/>
              <w:suppressLineNumbers w:val="0"/>
              <w:jc w:val="left"/>
              <w:rPr>
                <w:rFonts w:hint="eastAsia" w:ascii="宋体" w:hAnsi="宋体" w:eastAsia="宋体" w:cs="宋体"/>
                <w:b w:val="0"/>
                <w:bCs w:val="0"/>
                <w:sz w:val="24"/>
                <w:szCs w:val="24"/>
                <w:vertAlign w:val="baseline"/>
                <w:lang w:eastAsia="zh-CN"/>
              </w:rPr>
            </w:pPr>
            <w:r>
              <w:rPr>
                <w:rFonts w:hint="eastAsia" w:ascii="宋体" w:hAnsi="宋体" w:eastAsia="宋体" w:cs="宋体"/>
                <w:color w:val="000000"/>
                <w:kern w:val="0"/>
                <w:sz w:val="24"/>
                <w:szCs w:val="24"/>
                <w:lang w:val="en-US" w:eastAsia="zh-CN" w:bidi="ar"/>
              </w:rPr>
              <w:t>安全阀的排放能力，大于压力容器的安全泄放量。</w:t>
            </w:r>
          </w:p>
        </w:tc>
        <w:tc>
          <w:tcPr>
            <w:tcW w:w="907" w:type="dxa"/>
            <w:vAlign w:val="center"/>
          </w:tcPr>
          <w:p w14:paraId="0B376B58">
            <w:pPr>
              <w:keepNext w:val="0"/>
              <w:keepLines w:val="0"/>
              <w:pageBreakBefore w:val="0"/>
              <w:widowControl/>
              <w:suppressLineNumbers w:val="0"/>
              <w:kinsoku/>
              <w:wordWrap/>
              <w:overflowPunct/>
              <w:topLinePunct w:val="0"/>
              <w:autoSpaceDE/>
              <w:autoSpaceDN/>
              <w:bidi w:val="0"/>
              <w:adjustRightInd/>
              <w:snapToGrid/>
              <w:jc w:val="center"/>
              <w:textAlignment w:val="auto"/>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08AE9F19">
      <w:pPr>
        <w:keepNext w:val="0"/>
        <w:keepLines w:val="0"/>
        <w:pageBreakBefore w:val="0"/>
        <w:widowControl w:val="0"/>
        <w:suppressLineNumbers w:val="0"/>
        <w:kinsoku/>
        <w:wordWrap/>
        <w:overflowPunct/>
        <w:topLinePunct w:val="0"/>
        <w:autoSpaceDE/>
        <w:autoSpaceDN/>
        <w:bidi w:val="0"/>
        <w:adjustRightInd/>
        <w:snapToGrid/>
        <w:spacing w:line="600" w:lineRule="exact"/>
        <w:jc w:val="both"/>
        <w:textAlignment w:val="auto"/>
        <w:outlineLvl w:val="2"/>
        <w:rPr>
          <w:rFonts w:hint="eastAsia" w:ascii="宋体" w:hAnsi="宋体" w:eastAsia="宋体" w:cs="宋体"/>
          <w:b/>
          <w:bCs/>
          <w:color w:val="000000"/>
          <w:kern w:val="0"/>
          <w:sz w:val="28"/>
          <w:szCs w:val="28"/>
          <w:lang w:val="en-US" w:eastAsia="zh-CN" w:bidi="ar"/>
        </w:rPr>
      </w:pPr>
      <w:bookmarkStart w:id="203" w:name="_Toc19972"/>
      <w:bookmarkStart w:id="204" w:name="_Toc5366"/>
      <w:r>
        <w:rPr>
          <w:rFonts w:hint="eastAsia" w:ascii="宋体" w:hAnsi="宋体" w:eastAsia="宋体" w:cs="宋体"/>
          <w:b/>
          <w:bCs/>
          <w:color w:val="000000"/>
          <w:kern w:val="0"/>
          <w:sz w:val="28"/>
          <w:szCs w:val="28"/>
          <w:lang w:val="en-US" w:eastAsia="zh-CN" w:bidi="ar"/>
        </w:rPr>
        <w:t>5.3.</w:t>
      </w:r>
      <w:r>
        <w:rPr>
          <w:rFonts w:hint="eastAsia" w:hAnsi="宋体" w:cs="宋体"/>
          <w:b/>
          <w:bCs/>
          <w:color w:val="000000"/>
          <w:kern w:val="0"/>
          <w:sz w:val="28"/>
          <w:szCs w:val="28"/>
          <w:lang w:val="en-US" w:eastAsia="zh-CN" w:bidi="ar"/>
        </w:rPr>
        <w:t>4</w:t>
      </w:r>
      <w:r>
        <w:rPr>
          <w:rFonts w:hint="eastAsia" w:ascii="宋体" w:hAnsi="宋体" w:eastAsia="宋体" w:cs="宋体"/>
          <w:b/>
          <w:bCs/>
          <w:color w:val="000000"/>
          <w:kern w:val="0"/>
          <w:sz w:val="28"/>
          <w:szCs w:val="28"/>
          <w:lang w:val="en-US" w:eastAsia="zh-CN" w:bidi="ar"/>
        </w:rPr>
        <w:t xml:space="preserve"> 作业条件危险性分析</w:t>
      </w:r>
      <w:bookmarkEnd w:id="203"/>
      <w:bookmarkEnd w:id="204"/>
    </w:p>
    <w:p w14:paraId="734864B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以机械伤害为例，可知生产过程中有危险事件发生可能性L是有可能发生，因此L值取3，但操作人员会暴露在危险环境中，因此E值取6，根据该作业环境中产生的危害对人体的可能伤害程度，危险严重度C值取2。按照以上取值计算：</w:t>
      </w:r>
    </w:p>
    <w:p w14:paraId="6254D937">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危险性D =L×E×C </w:t>
      </w:r>
    </w:p>
    <w:p w14:paraId="2AE5F5F6">
      <w:pPr>
        <w:keepNext w:val="0"/>
        <w:keepLines w:val="0"/>
        <w:pageBreakBefore w:val="0"/>
        <w:widowControl/>
        <w:suppressLineNumbers w:val="0"/>
        <w:kinsoku/>
        <w:wordWrap/>
        <w:overflowPunct/>
        <w:topLinePunct w:val="0"/>
        <w:autoSpaceDE/>
        <w:autoSpaceDN/>
        <w:bidi w:val="0"/>
        <w:adjustRightInd/>
        <w:snapToGrid/>
        <w:spacing w:line="600" w:lineRule="exact"/>
        <w:ind w:firstLine="1960" w:firstLineChars="7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=3×6×2 </w:t>
      </w:r>
    </w:p>
    <w:p w14:paraId="4D70F0D8">
      <w:pPr>
        <w:keepNext w:val="0"/>
        <w:keepLines w:val="0"/>
        <w:pageBreakBefore w:val="0"/>
        <w:widowControl/>
        <w:suppressLineNumbers w:val="0"/>
        <w:kinsoku/>
        <w:wordWrap/>
        <w:overflowPunct/>
        <w:topLinePunct w:val="0"/>
        <w:autoSpaceDE/>
        <w:autoSpaceDN/>
        <w:bidi w:val="0"/>
        <w:adjustRightInd/>
        <w:snapToGrid/>
        <w:spacing w:line="600" w:lineRule="exact"/>
        <w:ind w:firstLine="1960" w:firstLineChars="7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=36</w:t>
      </w:r>
    </w:p>
    <w:p w14:paraId="502FB95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对照危险性程度分级的分数值可以得出生产过程中的危险性程度为可能危险。按照以上方法取值，并计算 D 值，列入表 5-8。 </w:t>
      </w:r>
    </w:p>
    <w:p w14:paraId="0B4EE12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根据生产过程中的操作条件及作业人员进入危险环境的频次，下面分别对各参数进行取值计算，其结果列入下表。</w:t>
      </w:r>
    </w:p>
    <w:p w14:paraId="3C7824DD">
      <w:pPr>
        <w:keepNext w:val="0"/>
        <w:keepLines w:val="0"/>
        <w:widowControl/>
        <w:suppressLineNumbers w:val="0"/>
        <w:jc w:val="center"/>
        <w:rPr>
          <w:rFonts w:hint="eastAsia" w:ascii="宋体" w:hAnsi="宋体" w:eastAsia="宋体" w:cs="宋体"/>
        </w:rPr>
      </w:pPr>
      <w:r>
        <w:rPr>
          <w:rFonts w:hint="eastAsia" w:ascii="宋体" w:hAnsi="宋体" w:eastAsia="宋体" w:cs="宋体"/>
          <w:b/>
          <w:bCs/>
          <w:color w:val="000000"/>
          <w:kern w:val="0"/>
          <w:sz w:val="24"/>
          <w:szCs w:val="24"/>
          <w:lang w:val="en-US" w:eastAsia="zh-CN" w:bidi="ar"/>
        </w:rPr>
        <w:t>表 5-8 作业条件评价结果表</w:t>
      </w:r>
    </w:p>
    <w:tbl>
      <w:tblPr>
        <w:tblStyle w:val="16"/>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7"/>
        <w:gridCol w:w="899"/>
        <w:gridCol w:w="916"/>
        <w:gridCol w:w="1104"/>
        <w:gridCol w:w="1219"/>
        <w:gridCol w:w="2166"/>
      </w:tblGrid>
      <w:tr w14:paraId="6D4D5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647" w:type="pct"/>
            <w:vMerge w:val="restart"/>
            <w:tcBorders>
              <w:top w:val="single" w:color="auto" w:sz="4" w:space="0"/>
              <w:left w:val="single" w:color="auto" w:sz="4" w:space="0"/>
              <w:right w:val="single" w:color="auto" w:sz="4" w:space="0"/>
            </w:tcBorders>
            <w:noWrap w:val="0"/>
            <w:vAlign w:val="center"/>
          </w:tcPr>
          <w:p w14:paraId="5E723AFC">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hint="eastAsia" w:ascii="宋体" w:hAnsi="宋体"/>
                <w:b/>
                <w:bCs/>
                <w:color w:val="auto"/>
              </w:rPr>
              <w:t>危险因素</w:t>
            </w:r>
          </w:p>
        </w:tc>
        <w:tc>
          <w:tcPr>
            <w:tcW w:w="2200" w:type="pct"/>
            <w:gridSpan w:val="4"/>
            <w:tcBorders>
              <w:top w:val="single" w:color="auto" w:sz="4" w:space="0"/>
              <w:left w:val="single" w:color="auto" w:sz="4" w:space="0"/>
              <w:right w:val="single" w:color="auto" w:sz="4" w:space="0"/>
            </w:tcBorders>
            <w:noWrap w:val="0"/>
            <w:vAlign w:val="center"/>
          </w:tcPr>
          <w:p w14:paraId="0C3DD12D">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hint="eastAsia" w:ascii="宋体" w:hAnsi="宋体"/>
                <w:b/>
                <w:bCs/>
                <w:color w:val="auto"/>
              </w:rPr>
              <w:t>风险值D=L·E·C</w:t>
            </w:r>
          </w:p>
        </w:tc>
        <w:tc>
          <w:tcPr>
            <w:tcW w:w="1152" w:type="pct"/>
            <w:vMerge w:val="restart"/>
            <w:tcBorders>
              <w:top w:val="single" w:color="auto" w:sz="4" w:space="0"/>
              <w:left w:val="single" w:color="auto" w:sz="4" w:space="0"/>
              <w:right w:val="single" w:color="auto" w:sz="4" w:space="0"/>
            </w:tcBorders>
            <w:noWrap w:val="0"/>
            <w:vAlign w:val="center"/>
          </w:tcPr>
          <w:p w14:paraId="30EFE8C6">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hint="eastAsia" w:ascii="宋体" w:hAnsi="宋体"/>
                <w:b/>
                <w:bCs/>
                <w:color w:val="auto"/>
              </w:rPr>
              <w:t>危险程度</w:t>
            </w:r>
          </w:p>
        </w:tc>
      </w:tr>
      <w:tr w14:paraId="4F99A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1647" w:type="pct"/>
            <w:vMerge w:val="continue"/>
            <w:tcBorders>
              <w:left w:val="single" w:color="auto" w:sz="4" w:space="0"/>
              <w:right w:val="single" w:color="auto" w:sz="4" w:space="0"/>
            </w:tcBorders>
            <w:noWrap w:val="0"/>
            <w:vAlign w:val="center"/>
          </w:tcPr>
          <w:p w14:paraId="4A3F1A83">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b/>
                <w:bCs/>
                <w:color w:val="auto"/>
              </w:rPr>
            </w:pPr>
          </w:p>
        </w:tc>
        <w:tc>
          <w:tcPr>
            <w:tcW w:w="478" w:type="pct"/>
            <w:tcBorders>
              <w:top w:val="single" w:color="auto" w:sz="4" w:space="0"/>
              <w:left w:val="single" w:color="auto" w:sz="4" w:space="0"/>
              <w:bottom w:val="single" w:color="auto" w:sz="4" w:space="0"/>
              <w:right w:val="single" w:color="auto" w:sz="4" w:space="0"/>
            </w:tcBorders>
            <w:noWrap w:val="0"/>
            <w:vAlign w:val="center"/>
          </w:tcPr>
          <w:p w14:paraId="15401B9A">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ascii="宋体" w:hAnsi="宋体"/>
                <w:b/>
                <w:bCs/>
                <w:color w:val="auto"/>
              </w:rPr>
              <w:t>L</w:t>
            </w:r>
          </w:p>
        </w:tc>
        <w:tc>
          <w:tcPr>
            <w:tcW w:w="487" w:type="pct"/>
            <w:tcBorders>
              <w:top w:val="single" w:color="auto" w:sz="4" w:space="0"/>
              <w:left w:val="single" w:color="auto" w:sz="4" w:space="0"/>
              <w:bottom w:val="single" w:color="auto" w:sz="4" w:space="0"/>
              <w:right w:val="single" w:color="auto" w:sz="4" w:space="0"/>
            </w:tcBorders>
            <w:noWrap w:val="0"/>
            <w:vAlign w:val="center"/>
          </w:tcPr>
          <w:p w14:paraId="0E4AD334">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ascii="宋体" w:hAnsi="宋体"/>
                <w:b/>
                <w:bCs/>
                <w:color w:val="auto"/>
              </w:rPr>
              <w:t>E</w:t>
            </w:r>
          </w:p>
        </w:tc>
        <w:tc>
          <w:tcPr>
            <w:tcW w:w="587" w:type="pct"/>
            <w:tcBorders>
              <w:top w:val="single" w:color="auto" w:sz="4" w:space="0"/>
              <w:left w:val="single" w:color="auto" w:sz="4" w:space="0"/>
              <w:bottom w:val="single" w:color="auto" w:sz="4" w:space="0"/>
              <w:right w:val="single" w:color="auto" w:sz="4" w:space="0"/>
            </w:tcBorders>
            <w:noWrap w:val="0"/>
            <w:vAlign w:val="center"/>
          </w:tcPr>
          <w:p w14:paraId="4D0127DB">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宋体" w:hAnsi="宋体"/>
                <w:b/>
                <w:bCs/>
                <w:color w:val="auto"/>
              </w:rPr>
            </w:pPr>
            <w:r>
              <w:rPr>
                <w:rFonts w:ascii="宋体" w:hAnsi="宋体"/>
                <w:b/>
                <w:bCs/>
                <w:color w:val="auto"/>
              </w:rPr>
              <w:t>C</w:t>
            </w:r>
          </w:p>
        </w:tc>
        <w:tc>
          <w:tcPr>
            <w:tcW w:w="646" w:type="pct"/>
            <w:tcBorders>
              <w:top w:val="single" w:color="auto" w:sz="4" w:space="0"/>
              <w:left w:val="single" w:color="auto" w:sz="4" w:space="0"/>
              <w:bottom w:val="single" w:color="auto" w:sz="4" w:space="0"/>
              <w:right w:val="single" w:color="auto" w:sz="4" w:space="0"/>
            </w:tcBorders>
            <w:noWrap w:val="0"/>
            <w:vAlign w:val="center"/>
          </w:tcPr>
          <w:p w14:paraId="66214E8A">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b/>
                <w:bCs/>
                <w:color w:val="auto"/>
              </w:rPr>
            </w:pPr>
            <w:r>
              <w:rPr>
                <w:rFonts w:ascii="宋体" w:hAnsi="宋体"/>
                <w:b/>
                <w:bCs/>
                <w:color w:val="auto"/>
              </w:rPr>
              <w:t>D</w:t>
            </w:r>
          </w:p>
        </w:tc>
        <w:tc>
          <w:tcPr>
            <w:tcW w:w="1152" w:type="pct"/>
            <w:vMerge w:val="continue"/>
            <w:tcBorders>
              <w:left w:val="single" w:color="auto" w:sz="4" w:space="0"/>
              <w:bottom w:val="single" w:color="auto" w:sz="4" w:space="0"/>
              <w:right w:val="single" w:color="auto" w:sz="4" w:space="0"/>
            </w:tcBorders>
            <w:noWrap w:val="0"/>
            <w:vAlign w:val="center"/>
          </w:tcPr>
          <w:p w14:paraId="6B60F3F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color w:val="auto"/>
              </w:rPr>
            </w:pPr>
          </w:p>
        </w:tc>
      </w:tr>
      <w:tr w14:paraId="6D5D85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E86646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color w:val="auto"/>
                <w:kern w:val="0"/>
                <w:sz w:val="21"/>
                <w:szCs w:val="21"/>
              </w:rPr>
              <w:t>火灾、爆炸</w:t>
            </w:r>
          </w:p>
        </w:tc>
        <w:tc>
          <w:tcPr>
            <w:tcW w:w="47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087FD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3</w:t>
            </w:r>
          </w:p>
        </w:tc>
        <w:tc>
          <w:tcPr>
            <w:tcW w:w="4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0F1CAE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3</w:t>
            </w:r>
          </w:p>
        </w:tc>
        <w:tc>
          <w:tcPr>
            <w:tcW w:w="5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0CB70F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7</w:t>
            </w:r>
          </w:p>
        </w:tc>
        <w:tc>
          <w:tcPr>
            <w:tcW w:w="64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1DE4FE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63</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A883AE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eastAsia="zh-CN"/>
              </w:rPr>
            </w:pPr>
            <w:r>
              <w:rPr>
                <w:rFonts w:hint="eastAsia" w:ascii="宋体" w:hAnsi="宋体"/>
                <w:color w:val="auto"/>
                <w:lang w:val="en-US" w:eastAsia="zh-CN"/>
              </w:rPr>
              <w:t>一般</w:t>
            </w:r>
            <w:r>
              <w:rPr>
                <w:rFonts w:hint="eastAsia" w:ascii="宋体" w:hAnsi="宋体" w:eastAsia="宋体"/>
                <w:color w:val="auto"/>
                <w:lang w:eastAsia="zh-CN"/>
              </w:rPr>
              <w:t>危险</w:t>
            </w:r>
          </w:p>
        </w:tc>
      </w:tr>
      <w:tr w14:paraId="4D6F2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8B809C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机械伤害</w:t>
            </w:r>
          </w:p>
        </w:tc>
        <w:tc>
          <w:tcPr>
            <w:tcW w:w="47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76197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color w:val="auto"/>
                <w:lang w:val="en-US" w:eastAsia="zh-CN"/>
              </w:rPr>
              <w:t>3</w:t>
            </w:r>
          </w:p>
        </w:tc>
        <w:tc>
          <w:tcPr>
            <w:tcW w:w="4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2F692C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3</w:t>
            </w:r>
          </w:p>
        </w:tc>
        <w:tc>
          <w:tcPr>
            <w:tcW w:w="5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A22C92E">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color w:val="auto"/>
                <w:lang w:val="en-US" w:eastAsia="zh-CN"/>
              </w:rPr>
              <w:t>7</w:t>
            </w:r>
          </w:p>
        </w:tc>
        <w:tc>
          <w:tcPr>
            <w:tcW w:w="64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D4D024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63</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6EB67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color w:val="auto"/>
                <w:lang w:val="en-US" w:eastAsia="zh-CN"/>
              </w:rPr>
              <w:t>一般危险</w:t>
            </w:r>
          </w:p>
        </w:tc>
      </w:tr>
      <w:tr w14:paraId="172E2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ACA2DC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触电</w:t>
            </w:r>
          </w:p>
        </w:tc>
        <w:tc>
          <w:tcPr>
            <w:tcW w:w="47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A7EAD3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eastAsia="宋体"/>
                <w:color w:val="auto"/>
                <w:lang w:val="en-US" w:eastAsia="zh-CN"/>
              </w:rPr>
              <w:t>1</w:t>
            </w:r>
          </w:p>
        </w:tc>
        <w:tc>
          <w:tcPr>
            <w:tcW w:w="4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6C468D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eastAsia="宋体"/>
                <w:color w:val="auto"/>
                <w:lang w:val="en-US" w:eastAsia="zh-CN"/>
              </w:rPr>
              <w:t>6</w:t>
            </w:r>
          </w:p>
        </w:tc>
        <w:tc>
          <w:tcPr>
            <w:tcW w:w="5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93593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eastAsia="宋体"/>
                <w:color w:val="auto"/>
                <w:lang w:val="en-US" w:eastAsia="zh-CN"/>
              </w:rPr>
              <w:t>15</w:t>
            </w:r>
          </w:p>
        </w:tc>
        <w:tc>
          <w:tcPr>
            <w:tcW w:w="64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CE8DDB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90</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ED5E60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eastAsia="宋体"/>
                <w:color w:val="auto"/>
                <w:lang w:eastAsia="zh-CN"/>
              </w:rPr>
              <w:t>显著危险</w:t>
            </w:r>
          </w:p>
        </w:tc>
      </w:tr>
      <w:tr w14:paraId="7C66E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6C8DA1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车辆伤害</w:t>
            </w:r>
          </w:p>
        </w:tc>
        <w:tc>
          <w:tcPr>
            <w:tcW w:w="47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4F13F50">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color w:val="auto"/>
                <w:lang w:val="en-US" w:eastAsia="zh-CN"/>
              </w:rPr>
              <w:t>1</w:t>
            </w:r>
          </w:p>
        </w:tc>
        <w:tc>
          <w:tcPr>
            <w:tcW w:w="4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DFD51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3</w:t>
            </w:r>
          </w:p>
        </w:tc>
        <w:tc>
          <w:tcPr>
            <w:tcW w:w="5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4B01DB5">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eastAsia="宋体"/>
                <w:color w:val="auto"/>
                <w:kern w:val="2"/>
                <w:sz w:val="21"/>
                <w:szCs w:val="24"/>
                <w:lang w:val="en-US" w:eastAsia="zh-CN" w:bidi="ar-SA"/>
              </w:rPr>
              <w:t>7</w:t>
            </w:r>
          </w:p>
        </w:tc>
        <w:tc>
          <w:tcPr>
            <w:tcW w:w="64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868476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eastAsia="宋体"/>
                <w:color w:val="auto"/>
                <w:kern w:val="2"/>
                <w:sz w:val="21"/>
                <w:szCs w:val="24"/>
                <w:lang w:val="en-US" w:eastAsia="zh-CN" w:bidi="ar-SA"/>
              </w:rPr>
              <w:t>21</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E1028A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color w:val="auto"/>
                <w:lang w:val="en-US" w:eastAsia="zh-CN"/>
              </w:rPr>
              <w:t>一般危险</w:t>
            </w:r>
          </w:p>
        </w:tc>
      </w:tr>
      <w:tr w14:paraId="0E5B7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6A0651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高处坠落</w:t>
            </w:r>
          </w:p>
        </w:tc>
        <w:tc>
          <w:tcPr>
            <w:tcW w:w="47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C7211C9">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val="en-US" w:eastAsia="zh-CN"/>
              </w:rPr>
            </w:pPr>
            <w:r>
              <w:rPr>
                <w:rFonts w:hint="eastAsia" w:ascii="宋体" w:hAnsi="宋体"/>
                <w:color w:val="auto"/>
                <w:lang w:val="en-US" w:eastAsia="zh-CN"/>
              </w:rPr>
              <w:t>3</w:t>
            </w:r>
          </w:p>
        </w:tc>
        <w:tc>
          <w:tcPr>
            <w:tcW w:w="4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4F7EE98">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2</w:t>
            </w:r>
          </w:p>
        </w:tc>
        <w:tc>
          <w:tcPr>
            <w:tcW w:w="5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FD8956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7</w:t>
            </w:r>
          </w:p>
        </w:tc>
        <w:tc>
          <w:tcPr>
            <w:tcW w:w="64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4829A6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42</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FB6FF87">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kern w:val="2"/>
                <w:sz w:val="21"/>
                <w:szCs w:val="24"/>
                <w:lang w:val="en-US" w:eastAsia="zh-CN" w:bidi="ar-SA"/>
              </w:rPr>
            </w:pPr>
            <w:r>
              <w:rPr>
                <w:rFonts w:hint="eastAsia" w:ascii="宋体" w:hAnsi="宋体"/>
                <w:color w:val="auto"/>
                <w:lang w:val="en-US" w:eastAsia="zh-CN"/>
              </w:rPr>
              <w:t>一般危险</w:t>
            </w:r>
          </w:p>
        </w:tc>
      </w:tr>
      <w:tr w14:paraId="0E5FA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DD83D7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物体打击</w:t>
            </w:r>
          </w:p>
        </w:tc>
        <w:tc>
          <w:tcPr>
            <w:tcW w:w="47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5AFE003">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3</w:t>
            </w:r>
          </w:p>
        </w:tc>
        <w:tc>
          <w:tcPr>
            <w:tcW w:w="4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65123CB">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3</w:t>
            </w:r>
          </w:p>
        </w:tc>
        <w:tc>
          <w:tcPr>
            <w:tcW w:w="5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8E74B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7</w:t>
            </w:r>
          </w:p>
        </w:tc>
        <w:tc>
          <w:tcPr>
            <w:tcW w:w="64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3F99EA2">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color w:val="auto"/>
                <w:lang w:val="en-US" w:eastAsia="zh-CN"/>
              </w:rPr>
              <w:t>63</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482C2C7">
            <w:pPr>
              <w:keepNext w:val="0"/>
              <w:keepLines w:val="0"/>
              <w:pageBreakBefore w:val="0"/>
              <w:kinsoku/>
              <w:wordWrap/>
              <w:overflowPunct/>
              <w:topLinePunct w:val="0"/>
              <w:autoSpaceDE/>
              <w:autoSpaceDN/>
              <w:bidi w:val="0"/>
              <w:adjustRightInd/>
              <w:snapToGrid/>
              <w:spacing w:line="240" w:lineRule="auto"/>
              <w:jc w:val="center"/>
              <w:textAlignment w:val="auto"/>
              <w:rPr>
                <w:rFonts w:ascii="宋体" w:hAnsi="宋体"/>
                <w:color w:val="auto"/>
              </w:rPr>
            </w:pPr>
            <w:r>
              <w:rPr>
                <w:rFonts w:hint="eastAsia" w:ascii="宋体" w:hAnsi="宋体"/>
                <w:color w:val="auto"/>
                <w:lang w:val="en-US" w:eastAsia="zh-CN"/>
              </w:rPr>
              <w:t>一般危险</w:t>
            </w:r>
          </w:p>
        </w:tc>
      </w:tr>
      <w:tr w14:paraId="50976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52E228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rPr>
              <w:t>坍塌</w:t>
            </w:r>
          </w:p>
        </w:tc>
        <w:tc>
          <w:tcPr>
            <w:tcW w:w="47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4B60E0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w:t>
            </w:r>
          </w:p>
        </w:tc>
        <w:tc>
          <w:tcPr>
            <w:tcW w:w="4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F87A58E">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w:t>
            </w:r>
          </w:p>
        </w:tc>
        <w:tc>
          <w:tcPr>
            <w:tcW w:w="5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0153044">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15</w:t>
            </w:r>
          </w:p>
        </w:tc>
        <w:tc>
          <w:tcPr>
            <w:tcW w:w="64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C68B00F">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15</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76006815">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lang w:eastAsia="zh-CN"/>
              </w:rPr>
            </w:pPr>
            <w:r>
              <w:rPr>
                <w:rFonts w:hint="eastAsia" w:ascii="宋体" w:hAnsi="宋体"/>
                <w:color w:val="auto"/>
                <w:lang w:eastAsia="zh-CN"/>
              </w:rPr>
              <w:t>稍有危险</w:t>
            </w:r>
          </w:p>
        </w:tc>
      </w:tr>
      <w:tr w14:paraId="1A768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CEACF52">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lang w:eastAsia="zh-CN"/>
              </w:rPr>
              <w:t>起重伤害</w:t>
            </w:r>
          </w:p>
        </w:tc>
        <w:tc>
          <w:tcPr>
            <w:tcW w:w="47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FA166F7">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3</w:t>
            </w:r>
          </w:p>
        </w:tc>
        <w:tc>
          <w:tcPr>
            <w:tcW w:w="4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34A15D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eastAsia="宋体"/>
                <w:color w:val="auto"/>
                <w:szCs w:val="21"/>
                <w:lang w:val="en-US" w:eastAsia="zh-CN"/>
              </w:rPr>
            </w:pPr>
            <w:r>
              <w:rPr>
                <w:rFonts w:hint="eastAsia" w:eastAsia="宋体"/>
                <w:color w:val="auto"/>
                <w:szCs w:val="21"/>
                <w:lang w:val="en-US" w:eastAsia="zh-CN"/>
              </w:rPr>
              <w:t>3</w:t>
            </w:r>
          </w:p>
        </w:tc>
        <w:tc>
          <w:tcPr>
            <w:tcW w:w="5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1488D60">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15</w:t>
            </w:r>
          </w:p>
        </w:tc>
        <w:tc>
          <w:tcPr>
            <w:tcW w:w="64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01CDB38A">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lang w:val="en-US" w:eastAsia="zh-CN"/>
              </w:rPr>
            </w:pPr>
            <w:r>
              <w:rPr>
                <w:rFonts w:hint="eastAsia" w:ascii="宋体" w:hAnsi="宋体" w:eastAsia="宋体"/>
                <w:color w:val="auto"/>
                <w:lang w:val="en-US" w:eastAsia="zh-CN"/>
              </w:rPr>
              <w:t>135</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6D99D68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kern w:val="2"/>
                <w:sz w:val="21"/>
                <w:szCs w:val="24"/>
                <w:lang w:val="en-US" w:eastAsia="zh-CN" w:bidi="ar-SA"/>
              </w:rPr>
            </w:pPr>
            <w:r>
              <w:rPr>
                <w:rFonts w:hint="eastAsia" w:ascii="宋体" w:hAnsi="宋体" w:eastAsia="宋体"/>
                <w:color w:val="auto"/>
                <w:lang w:eastAsia="zh-CN"/>
              </w:rPr>
              <w:t>显著危险</w:t>
            </w:r>
          </w:p>
        </w:tc>
      </w:tr>
      <w:tr w14:paraId="5A9D2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2F72DC2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bCs/>
                <w:color w:val="auto"/>
                <w:kern w:val="3"/>
                <w:sz w:val="21"/>
                <w:szCs w:val="21"/>
                <w:lang w:val="en-US" w:eastAsia="zh-CN"/>
              </w:rPr>
            </w:pPr>
            <w:r>
              <w:rPr>
                <w:rFonts w:hint="eastAsia" w:ascii="宋体" w:hAnsi="宋体" w:eastAsia="宋体" w:cs="宋体"/>
                <w:bCs/>
                <w:color w:val="auto"/>
                <w:kern w:val="3"/>
                <w:sz w:val="21"/>
                <w:szCs w:val="21"/>
                <w:lang w:val="en-US" w:eastAsia="zh-CN"/>
              </w:rPr>
              <w:t>容器爆炸</w:t>
            </w:r>
          </w:p>
        </w:tc>
        <w:tc>
          <w:tcPr>
            <w:tcW w:w="89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25F3311">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sz w:val="24"/>
                <w:lang w:val="en-US" w:eastAsia="zh-CN" w:bidi="ar-SA"/>
              </w:rPr>
            </w:pPr>
            <w:r>
              <w:rPr>
                <w:rFonts w:hint="eastAsia" w:ascii="宋体" w:hAnsi="宋体"/>
                <w:color w:val="auto"/>
                <w:lang w:val="en-US" w:eastAsia="zh-CN"/>
              </w:rPr>
              <w:t>3</w:t>
            </w:r>
          </w:p>
        </w:tc>
        <w:tc>
          <w:tcPr>
            <w:tcW w:w="91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9B7DB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sz w:val="24"/>
                <w:lang w:val="en-US" w:eastAsia="zh-CN" w:bidi="ar-SA"/>
              </w:rPr>
            </w:pPr>
            <w:r>
              <w:rPr>
                <w:rFonts w:hint="eastAsia" w:ascii="宋体" w:hAnsi="宋体"/>
                <w:color w:val="auto"/>
                <w:lang w:val="en-US" w:eastAsia="zh-CN"/>
              </w:rPr>
              <w:t>3</w:t>
            </w:r>
          </w:p>
        </w:tc>
        <w:tc>
          <w:tcPr>
            <w:tcW w:w="110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A6C77E8">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sz w:val="24"/>
                <w:lang w:val="en-US" w:eastAsia="zh-CN" w:bidi="ar-SA"/>
              </w:rPr>
            </w:pPr>
            <w:r>
              <w:rPr>
                <w:rFonts w:hint="eastAsia" w:ascii="宋体" w:hAnsi="宋体"/>
                <w:color w:val="auto"/>
                <w:lang w:val="en-US" w:eastAsia="zh-CN"/>
              </w:rPr>
              <w:t>7</w:t>
            </w:r>
          </w:p>
        </w:tc>
        <w:tc>
          <w:tcPr>
            <w:tcW w:w="1219"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5FA262">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sz w:val="24"/>
                <w:lang w:val="en-US" w:eastAsia="zh-CN" w:bidi="ar-SA"/>
              </w:rPr>
            </w:pPr>
            <w:r>
              <w:rPr>
                <w:rFonts w:hint="eastAsia" w:ascii="宋体" w:hAnsi="宋体"/>
                <w:color w:val="auto"/>
                <w:lang w:val="en-US" w:eastAsia="zh-CN"/>
              </w:rPr>
              <w:t>63</w:t>
            </w:r>
          </w:p>
        </w:tc>
        <w:tc>
          <w:tcPr>
            <w:tcW w:w="216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5D60C14">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s="Times New Roman"/>
                <w:color w:val="auto"/>
                <w:kern w:val="2"/>
                <w:sz w:val="21"/>
                <w:szCs w:val="24"/>
                <w:lang w:val="en-US" w:eastAsia="zh-CN" w:bidi="ar-SA"/>
              </w:rPr>
            </w:pPr>
            <w:r>
              <w:rPr>
                <w:rFonts w:hint="eastAsia" w:ascii="宋体" w:hAnsi="宋体"/>
                <w:color w:val="auto"/>
                <w:lang w:val="en-US" w:eastAsia="zh-CN"/>
              </w:rPr>
              <w:t>一般</w:t>
            </w:r>
            <w:r>
              <w:rPr>
                <w:rFonts w:hint="eastAsia" w:ascii="宋体" w:hAnsi="宋体" w:eastAsia="宋体"/>
                <w:color w:val="auto"/>
                <w:lang w:eastAsia="zh-CN"/>
              </w:rPr>
              <w:t>危险</w:t>
            </w:r>
          </w:p>
        </w:tc>
      </w:tr>
      <w:tr w14:paraId="576F5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4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B42173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color w:val="auto"/>
                <w:kern w:val="3"/>
                <w:sz w:val="21"/>
                <w:szCs w:val="21"/>
                <w:lang w:val="en-US" w:eastAsia="zh-CN" w:bidi="ar-SA"/>
              </w:rPr>
            </w:pPr>
            <w:r>
              <w:rPr>
                <w:rFonts w:hint="eastAsia" w:ascii="宋体" w:hAnsi="宋体" w:eastAsia="宋体" w:cs="宋体"/>
                <w:bCs/>
                <w:color w:val="auto"/>
                <w:kern w:val="3"/>
                <w:sz w:val="21"/>
                <w:szCs w:val="21"/>
                <w:lang w:eastAsia="zh-CN"/>
              </w:rPr>
              <w:t>其他伤害</w:t>
            </w:r>
          </w:p>
        </w:tc>
        <w:tc>
          <w:tcPr>
            <w:tcW w:w="478"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1666FDE9">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color w:val="auto"/>
                <w:lang w:val="en-US" w:eastAsia="zh-CN"/>
              </w:rPr>
            </w:pPr>
            <w:r>
              <w:rPr>
                <w:rFonts w:hint="eastAsia" w:ascii="宋体" w:hAnsi="宋体"/>
                <w:color w:val="auto"/>
                <w:lang w:val="en-US" w:eastAsia="zh-CN"/>
              </w:rPr>
              <w:t>3</w:t>
            </w:r>
          </w:p>
        </w:tc>
        <w:tc>
          <w:tcPr>
            <w:tcW w:w="4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82A58D1">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color w:val="auto"/>
                <w:szCs w:val="21"/>
                <w:lang w:val="en-US" w:eastAsia="zh-CN"/>
              </w:rPr>
            </w:pPr>
            <w:r>
              <w:rPr>
                <w:rFonts w:hint="eastAsia"/>
                <w:color w:val="auto"/>
                <w:szCs w:val="21"/>
                <w:lang w:val="en-US" w:eastAsia="zh-CN"/>
              </w:rPr>
              <w:t>3</w:t>
            </w:r>
          </w:p>
        </w:tc>
        <w:tc>
          <w:tcPr>
            <w:tcW w:w="587"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3F18848D">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color w:val="auto"/>
                <w:lang w:val="en-US" w:eastAsia="zh-CN"/>
              </w:rPr>
            </w:pPr>
            <w:r>
              <w:rPr>
                <w:rFonts w:hint="eastAsia" w:ascii="宋体" w:hAnsi="宋体"/>
                <w:color w:val="auto"/>
                <w:lang w:val="en-US" w:eastAsia="zh-CN"/>
              </w:rPr>
              <w:t>2</w:t>
            </w:r>
          </w:p>
        </w:tc>
        <w:tc>
          <w:tcPr>
            <w:tcW w:w="646"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4B13A2CC">
            <w:pPr>
              <w:keepNext w:val="0"/>
              <w:keepLines w:val="0"/>
              <w:pageBreakBefore w:val="0"/>
              <w:kinsoku/>
              <w:wordWrap/>
              <w:overflowPunct/>
              <w:topLinePunct w:val="0"/>
              <w:autoSpaceDE/>
              <w:autoSpaceDN/>
              <w:bidi w:val="0"/>
              <w:adjustRightInd/>
              <w:snapToGrid/>
              <w:spacing w:line="240" w:lineRule="auto"/>
              <w:jc w:val="center"/>
              <w:textAlignment w:val="auto"/>
              <w:rPr>
                <w:rFonts w:hint="default" w:ascii="宋体" w:hAnsi="宋体" w:eastAsia="宋体"/>
                <w:color w:val="auto"/>
                <w:kern w:val="2"/>
                <w:sz w:val="21"/>
                <w:szCs w:val="24"/>
                <w:lang w:val="en-US" w:eastAsia="zh-CN" w:bidi="ar-SA"/>
              </w:rPr>
            </w:pPr>
            <w:r>
              <w:rPr>
                <w:rFonts w:hint="eastAsia" w:ascii="宋体" w:hAnsi="宋体" w:eastAsia="宋体"/>
                <w:color w:val="auto"/>
                <w:lang w:val="en-US" w:eastAsia="zh-CN"/>
              </w:rPr>
              <w:t>18</w:t>
            </w:r>
          </w:p>
        </w:tc>
        <w:tc>
          <w:tcPr>
            <w:tcW w:w="1152" w:type="pct"/>
            <w:tcBorders>
              <w:top w:val="single" w:color="auto" w:sz="4" w:space="0"/>
              <w:left w:val="single" w:color="auto" w:sz="4" w:space="0"/>
              <w:bottom w:val="single" w:color="auto" w:sz="4" w:space="0"/>
              <w:right w:val="single" w:color="auto" w:sz="4" w:space="0"/>
            </w:tcBorders>
            <w:shd w:val="clear" w:color="auto" w:fill="auto"/>
            <w:noWrap w:val="0"/>
            <w:vAlign w:val="center"/>
          </w:tcPr>
          <w:p w14:paraId="5A18F206">
            <w:pPr>
              <w:keepNext w:val="0"/>
              <w:keepLines w:val="0"/>
              <w:pageBreakBefore w:val="0"/>
              <w:kinsoku/>
              <w:wordWrap/>
              <w:overflowPunct/>
              <w:topLinePunct w:val="0"/>
              <w:autoSpaceDE/>
              <w:autoSpaceDN/>
              <w:bidi w:val="0"/>
              <w:adjustRightInd/>
              <w:snapToGrid/>
              <w:spacing w:line="240" w:lineRule="auto"/>
              <w:jc w:val="center"/>
              <w:textAlignment w:val="auto"/>
              <w:rPr>
                <w:rFonts w:hint="eastAsia" w:ascii="宋体" w:hAnsi="宋体" w:eastAsia="宋体"/>
                <w:color w:val="auto"/>
                <w:kern w:val="2"/>
                <w:sz w:val="21"/>
                <w:szCs w:val="24"/>
                <w:lang w:val="en-US" w:eastAsia="zh-CN" w:bidi="ar-SA"/>
              </w:rPr>
            </w:pPr>
            <w:r>
              <w:rPr>
                <w:rFonts w:hint="eastAsia" w:ascii="宋体" w:hAnsi="宋体"/>
                <w:color w:val="auto"/>
                <w:lang w:eastAsia="zh-CN"/>
              </w:rPr>
              <w:t>稍有危险</w:t>
            </w:r>
          </w:p>
        </w:tc>
      </w:tr>
    </w:tbl>
    <w:p w14:paraId="11E95716">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hAnsi="宋体" w:cs="宋体"/>
          <w:i w:val="0"/>
          <w:iCs w:val="0"/>
          <w:caps w:val="0"/>
          <w:color w:val="333333"/>
          <w:spacing w:val="0"/>
          <w:sz w:val="28"/>
          <w:szCs w:val="28"/>
          <w:shd w:val="clear" w:fill="FFFFFF"/>
          <w:lang w:val="en-US" w:eastAsia="zh-CN"/>
        </w:rPr>
      </w:pPr>
      <w:r>
        <w:rPr>
          <w:rFonts w:hint="eastAsia" w:hAnsi="宋体" w:cs="宋体"/>
          <w:i w:val="0"/>
          <w:iCs w:val="0"/>
          <w:caps w:val="0"/>
          <w:color w:val="333333"/>
          <w:spacing w:val="0"/>
          <w:sz w:val="28"/>
          <w:szCs w:val="28"/>
          <w:shd w:val="clear" w:fill="FFFFFF"/>
          <w:lang w:val="en-US" w:eastAsia="zh-CN"/>
        </w:rPr>
        <w:t>通过分析可知触电、起重伤害属于显著危险，火灾、爆炸、机械伤害、车辆伤害、高处坠落、物体打击、坍塌、容器爆炸、其他伤害属于稍有危险或一般危险。</w:t>
      </w:r>
    </w:p>
    <w:p w14:paraId="5043C9C6">
      <w:pPr>
        <w:keepNext w:val="0"/>
        <w:keepLines w:val="0"/>
        <w:widowControl/>
        <w:suppressLineNumbers w:val="0"/>
        <w:jc w:val="left"/>
        <w:outlineLvl w:val="2"/>
        <w:rPr>
          <w:rFonts w:hint="eastAsia" w:ascii="宋体" w:hAnsi="宋体" w:eastAsia="宋体" w:cs="宋体"/>
          <w:b/>
          <w:bCs/>
          <w:color w:val="000000"/>
          <w:kern w:val="0"/>
          <w:sz w:val="28"/>
          <w:szCs w:val="28"/>
          <w:lang w:val="en-US" w:eastAsia="zh-CN" w:bidi="ar"/>
        </w:rPr>
      </w:pPr>
      <w:bookmarkStart w:id="205" w:name="_Toc26210"/>
      <w:bookmarkStart w:id="206" w:name="_Toc11505"/>
      <w:r>
        <w:rPr>
          <w:rFonts w:hint="eastAsia" w:ascii="宋体" w:hAnsi="宋体" w:eastAsia="宋体" w:cs="宋体"/>
          <w:b/>
          <w:bCs/>
          <w:color w:val="000000"/>
          <w:kern w:val="0"/>
          <w:sz w:val="28"/>
          <w:szCs w:val="28"/>
          <w:lang w:val="en-US" w:eastAsia="zh-CN" w:bidi="ar"/>
        </w:rPr>
        <w:t>5.3.</w:t>
      </w:r>
      <w:r>
        <w:rPr>
          <w:rFonts w:hint="eastAsia" w:hAnsi="宋体" w:cs="宋体"/>
          <w:b/>
          <w:bCs/>
          <w:color w:val="000000"/>
          <w:kern w:val="0"/>
          <w:sz w:val="28"/>
          <w:szCs w:val="28"/>
          <w:lang w:val="en-US" w:eastAsia="zh-CN" w:bidi="ar"/>
        </w:rPr>
        <w:t>5</w:t>
      </w:r>
      <w:r>
        <w:rPr>
          <w:rFonts w:hint="eastAsia" w:ascii="宋体" w:hAnsi="宋体" w:eastAsia="宋体" w:cs="宋体"/>
          <w:b/>
          <w:bCs/>
          <w:color w:val="000000"/>
          <w:kern w:val="0"/>
          <w:sz w:val="28"/>
          <w:szCs w:val="28"/>
          <w:lang w:val="en-US" w:eastAsia="zh-CN" w:bidi="ar"/>
        </w:rPr>
        <w:t xml:space="preserve"> 单元小结</w:t>
      </w:r>
      <w:bookmarkEnd w:id="205"/>
      <w:bookmarkEnd w:id="206"/>
    </w:p>
    <w:p w14:paraId="2E60D442">
      <w:pPr>
        <w:keepNext w:val="0"/>
        <w:keepLines w:val="0"/>
        <w:pageBreakBefore w:val="0"/>
        <w:widowControl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该评价项目生产工艺简单，设备选型先进、合理，符合《中华人民共和国安全生产法》、《生产设备安全卫生设计总则》（GB5083-</w:t>
      </w:r>
      <w:r>
        <w:rPr>
          <w:rFonts w:hint="eastAsia" w:hAnsi="宋体" w:cs="宋体"/>
          <w:color w:val="000000"/>
          <w:kern w:val="0"/>
          <w:sz w:val="28"/>
          <w:szCs w:val="28"/>
          <w:lang w:val="en-US" w:eastAsia="zh-CN" w:bidi="ar"/>
        </w:rPr>
        <w:t>2023</w:t>
      </w:r>
      <w:r>
        <w:rPr>
          <w:rFonts w:hint="eastAsia" w:ascii="宋体" w:hAnsi="宋体" w:eastAsia="宋体" w:cs="宋体"/>
          <w:color w:val="000000"/>
          <w:kern w:val="0"/>
          <w:sz w:val="28"/>
          <w:szCs w:val="28"/>
          <w:lang w:val="en-US" w:eastAsia="zh-CN" w:bidi="ar"/>
        </w:rPr>
        <w:t>）、《生产过程安全卫生要求总则》（GB/T 12801-2008）、《金属切削机床装配通用技术条件》（GB/T25373-2010）、《手持式电动工具的管理、使用、检查和维修安全技术规程》（GB/T3787-2017）等标准规范中的相关内容规定，符合安全生产的基本要求。</w:t>
      </w:r>
    </w:p>
    <w:p w14:paraId="1A0A2CC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pPr>
      <w:bookmarkStart w:id="207" w:name="_Toc836"/>
      <w:bookmarkStart w:id="208" w:name="_Toc10607"/>
      <w:r>
        <w:rPr>
          <w:rFonts w:hint="eastAsia" w:ascii="宋体" w:hAnsi="宋体" w:eastAsia="宋体" w:cs="宋体"/>
          <w:b/>
          <w:bCs/>
          <w:color w:val="000000"/>
          <w:kern w:val="0"/>
          <w:sz w:val="30"/>
          <w:szCs w:val="30"/>
          <w:lang w:val="en-US" w:eastAsia="zh-CN" w:bidi="ar"/>
        </w:rPr>
        <w:t>5.4 公用工程和辅助设施单元</w:t>
      </w:r>
      <w:bookmarkEnd w:id="207"/>
      <w:bookmarkEnd w:id="208"/>
    </w:p>
    <w:p w14:paraId="7735A823">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pPr>
      <w:bookmarkStart w:id="209" w:name="_Toc541"/>
      <w:bookmarkStart w:id="210" w:name="_Toc15893"/>
      <w:r>
        <w:rPr>
          <w:rFonts w:hint="eastAsia" w:ascii="宋体" w:hAnsi="宋体" w:eastAsia="宋体" w:cs="宋体"/>
          <w:b/>
          <w:bCs/>
          <w:color w:val="000000"/>
          <w:kern w:val="0"/>
          <w:sz w:val="28"/>
          <w:szCs w:val="28"/>
          <w:lang w:val="en-US" w:eastAsia="zh-CN" w:bidi="ar"/>
        </w:rPr>
        <w:t>5.4.1 给排水子单元</w:t>
      </w:r>
      <w:bookmarkEnd w:id="209"/>
      <w:bookmarkEnd w:id="210"/>
    </w:p>
    <w:p w14:paraId="5525F8E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default" w:ascii="宋体" w:hAnsi="宋体" w:eastAsia="宋体" w:cs="宋体"/>
          <w:b/>
          <w:bCs/>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依据《工业企业总平面设计规范》（GB50187-2012）、《建筑给水排水设计标准》（GB50016-2019）等标准规范的要求，对该企业的给排水进行安全检查。检查结果见下表 5-9。</w:t>
      </w:r>
    </w:p>
    <w:p w14:paraId="27468645">
      <w:pPr>
        <w:keepNext w:val="0"/>
        <w:keepLines w:val="0"/>
        <w:widowControl/>
        <w:suppressLineNumbers w:val="0"/>
        <w:jc w:val="center"/>
      </w:pPr>
      <w:r>
        <w:rPr>
          <w:rFonts w:hint="eastAsia" w:ascii="宋体" w:hAnsi="宋体" w:eastAsia="宋体" w:cs="宋体"/>
          <w:b/>
          <w:bCs/>
          <w:color w:val="000000"/>
          <w:kern w:val="0"/>
          <w:sz w:val="24"/>
          <w:szCs w:val="24"/>
          <w:lang w:val="en-US" w:eastAsia="zh-CN" w:bidi="ar"/>
        </w:rPr>
        <w:t>表 5-9 给排水安全检查表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269C4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3714721">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22442469">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46631FB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22CFC07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19C8D0B1">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4AE2C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0A88EAA">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w:t>
            </w:r>
          </w:p>
        </w:tc>
        <w:tc>
          <w:tcPr>
            <w:tcW w:w="2789" w:type="dxa"/>
            <w:vAlign w:val="center"/>
          </w:tcPr>
          <w:p w14:paraId="5CD002DA">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建筑给水系统的设计应满足生活用水对水质、水量、水压、安全供水，以及消防给水的要求。</w:t>
            </w:r>
          </w:p>
        </w:tc>
        <w:tc>
          <w:tcPr>
            <w:tcW w:w="2376" w:type="dxa"/>
            <w:vAlign w:val="center"/>
          </w:tcPr>
          <w:p w14:paraId="6096C2FD">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《建筑给水排水设计标准》（GB50016-2019）第 3.1.1 条</w:t>
            </w:r>
          </w:p>
        </w:tc>
        <w:tc>
          <w:tcPr>
            <w:tcW w:w="2575" w:type="dxa"/>
            <w:vAlign w:val="center"/>
          </w:tcPr>
          <w:p w14:paraId="4283E532">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本项目给水能满足生活用水对水质、水量、水压、安全供水，以及消防给水的要求。</w:t>
            </w:r>
          </w:p>
        </w:tc>
        <w:tc>
          <w:tcPr>
            <w:tcW w:w="907" w:type="dxa"/>
            <w:vAlign w:val="center"/>
          </w:tcPr>
          <w:p w14:paraId="1EBA7F7B">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6FED1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3422DCE">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2</w:t>
            </w:r>
          </w:p>
        </w:tc>
        <w:tc>
          <w:tcPr>
            <w:tcW w:w="2789" w:type="dxa"/>
            <w:vAlign w:val="center"/>
          </w:tcPr>
          <w:p w14:paraId="3F6CFFA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场地应有完整、有效的雨水排水系统。场地雨水的排除方式，应结合工业企业所在地区的雨水排除方式、建筑密度、环境卫生要求、地质条件等因素，合理选择暗管、明沟或地面自然排渗等方式。厂区宜采用暗管排水。</w:t>
            </w:r>
          </w:p>
        </w:tc>
        <w:tc>
          <w:tcPr>
            <w:tcW w:w="2376" w:type="dxa"/>
            <w:vAlign w:val="center"/>
          </w:tcPr>
          <w:p w14:paraId="3C2D05A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6.4.1 条</w:t>
            </w:r>
          </w:p>
        </w:tc>
        <w:tc>
          <w:tcPr>
            <w:tcW w:w="2575" w:type="dxa"/>
            <w:vAlign w:val="center"/>
          </w:tcPr>
          <w:p w14:paraId="45AB5FC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该厂有较为完整、有效的排水系统。</w:t>
            </w:r>
          </w:p>
        </w:tc>
        <w:tc>
          <w:tcPr>
            <w:tcW w:w="907" w:type="dxa"/>
            <w:vAlign w:val="center"/>
          </w:tcPr>
          <w:p w14:paraId="56BA8E23">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A75D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9F46B43">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2789" w:type="dxa"/>
            <w:vAlign w:val="center"/>
          </w:tcPr>
          <w:p w14:paraId="2662A43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场地雨水排水设计流量计算，应符合现行国家标准《室外排水设计规范》的规定。</w:t>
            </w:r>
          </w:p>
        </w:tc>
        <w:tc>
          <w:tcPr>
            <w:tcW w:w="2376" w:type="dxa"/>
            <w:vAlign w:val="center"/>
          </w:tcPr>
          <w:p w14:paraId="2A82AA2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6.4.2 条</w:t>
            </w:r>
          </w:p>
        </w:tc>
        <w:tc>
          <w:tcPr>
            <w:tcW w:w="2575" w:type="dxa"/>
            <w:vAlign w:val="center"/>
          </w:tcPr>
          <w:p w14:paraId="3A1B308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该厂场地雨水排量基本符合相关要求。</w:t>
            </w:r>
          </w:p>
        </w:tc>
        <w:tc>
          <w:tcPr>
            <w:tcW w:w="907" w:type="dxa"/>
            <w:vAlign w:val="center"/>
          </w:tcPr>
          <w:p w14:paraId="6C4470FF">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83CE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71A887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2789" w:type="dxa"/>
            <w:vAlign w:val="center"/>
          </w:tcPr>
          <w:p w14:paraId="76F9B99D">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当采用明沟排水时，排水沟宜沿铁路、道路布置，并宜避免与其交叉。排出厂外的雨水，应避免对其它工程设施或农田造成危害。</w:t>
            </w:r>
          </w:p>
        </w:tc>
        <w:tc>
          <w:tcPr>
            <w:tcW w:w="2376" w:type="dxa"/>
            <w:vAlign w:val="center"/>
          </w:tcPr>
          <w:p w14:paraId="7AF4F74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6.4.3 条</w:t>
            </w:r>
          </w:p>
        </w:tc>
        <w:tc>
          <w:tcPr>
            <w:tcW w:w="2575" w:type="dxa"/>
            <w:vAlign w:val="center"/>
          </w:tcPr>
          <w:p w14:paraId="047201D6">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该厂的排水设施均沿道路设置，不会对其他设施造成危害。</w:t>
            </w:r>
          </w:p>
        </w:tc>
        <w:tc>
          <w:tcPr>
            <w:tcW w:w="907" w:type="dxa"/>
            <w:vAlign w:val="center"/>
          </w:tcPr>
          <w:p w14:paraId="622A748C">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93AF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60C61BE">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2789" w:type="dxa"/>
            <w:vAlign w:val="center"/>
          </w:tcPr>
          <w:p w14:paraId="1108A78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排水明沟的铺砌方式，应根据所处地段的土质和流速等情况确定。厂区明沟宜加铺砌；对厂容、卫生和安全要求较高的地段，尚应铺设盖板。</w:t>
            </w:r>
          </w:p>
        </w:tc>
        <w:tc>
          <w:tcPr>
            <w:tcW w:w="2376" w:type="dxa"/>
            <w:vAlign w:val="center"/>
          </w:tcPr>
          <w:p w14:paraId="264BA2A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6.4.4 条</w:t>
            </w:r>
          </w:p>
        </w:tc>
        <w:tc>
          <w:tcPr>
            <w:tcW w:w="2575" w:type="dxa"/>
            <w:vAlign w:val="center"/>
          </w:tcPr>
          <w:p w14:paraId="782935C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该厂的排水设施均按要求进行了布置。</w:t>
            </w:r>
          </w:p>
        </w:tc>
        <w:tc>
          <w:tcPr>
            <w:tcW w:w="907" w:type="dxa"/>
            <w:vAlign w:val="center"/>
          </w:tcPr>
          <w:p w14:paraId="75CDC348">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0350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6E8AC02">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2789" w:type="dxa"/>
            <w:vAlign w:val="center"/>
          </w:tcPr>
          <w:p w14:paraId="6AD534C4">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场地的排水明沟，宜采用矩形或梯形断面。明沟起点的深度，不宜小于 0.2m，矩形明沟的沟底宽度，不应小于 0.4m；梯形明沟的沟底宽度，不应小于 0.3m。明沟的纵坡，不应小于 0.3%；在地形平坦的困难地段，不应小于 0.2%。按流量计算的明沟，沟顶应高于计算水位 0.2m以上。</w:t>
            </w:r>
          </w:p>
        </w:tc>
        <w:tc>
          <w:tcPr>
            <w:tcW w:w="2376" w:type="dxa"/>
            <w:vAlign w:val="center"/>
          </w:tcPr>
          <w:p w14:paraId="20C3CE0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《工业企业总平面设计规范》（GB50187-2012）第 6.4.5 条</w:t>
            </w:r>
          </w:p>
        </w:tc>
        <w:tc>
          <w:tcPr>
            <w:tcW w:w="2575" w:type="dxa"/>
            <w:vAlign w:val="center"/>
          </w:tcPr>
          <w:p w14:paraId="3C1D770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该厂区的排水明沟按要求设置。</w:t>
            </w:r>
          </w:p>
        </w:tc>
        <w:tc>
          <w:tcPr>
            <w:tcW w:w="907" w:type="dxa"/>
            <w:vAlign w:val="center"/>
          </w:tcPr>
          <w:p w14:paraId="3817A136">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24161E2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由上表的检查结果可以得出以下结论：该评价项目的给排水基本符合相 </w:t>
      </w:r>
    </w:p>
    <w:p w14:paraId="0B02EAE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关规范的要求。</w:t>
      </w:r>
    </w:p>
    <w:p w14:paraId="47C0D05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sz w:val="28"/>
          <w:szCs w:val="28"/>
        </w:rPr>
      </w:pPr>
      <w:bookmarkStart w:id="211" w:name="_Toc11975"/>
      <w:bookmarkStart w:id="212" w:name="_Toc7020"/>
      <w:r>
        <w:rPr>
          <w:rFonts w:hint="eastAsia" w:ascii="宋体" w:hAnsi="宋体" w:eastAsia="宋体" w:cs="宋体"/>
          <w:b/>
          <w:bCs/>
          <w:color w:val="000000"/>
          <w:kern w:val="0"/>
          <w:sz w:val="28"/>
          <w:szCs w:val="28"/>
          <w:lang w:val="en-US" w:eastAsia="zh-CN" w:bidi="ar"/>
        </w:rPr>
        <w:t>5.4.2 供配电子单元</w:t>
      </w:r>
      <w:bookmarkEnd w:id="211"/>
      <w:bookmarkEnd w:id="212"/>
    </w:p>
    <w:p w14:paraId="68BBE7B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依据《低压配电设计规范》（GB50054-2011）、《用电安全导则》 （GB/T13869-2017）等标准规范的规定。用安全检查表法（SCL）对该单元进行分析评价，如表 5-10 所示。</w:t>
      </w:r>
    </w:p>
    <w:p w14:paraId="120FCE76">
      <w:pPr>
        <w:keepNext w:val="0"/>
        <w:keepLines w:val="0"/>
        <w:widowControl/>
        <w:suppressLineNumbers w:val="0"/>
        <w:jc w:val="center"/>
        <w:rPr>
          <w:rFonts w:hint="eastAsia" w:ascii="宋体" w:hAnsi="宋体" w:eastAsia="宋体" w:cs="宋体"/>
        </w:rPr>
      </w:pPr>
      <w:r>
        <w:rPr>
          <w:rFonts w:hint="eastAsia" w:ascii="宋体" w:hAnsi="宋体" w:eastAsia="宋体" w:cs="宋体"/>
          <w:b/>
          <w:bCs/>
          <w:color w:val="000000"/>
          <w:kern w:val="0"/>
          <w:sz w:val="24"/>
          <w:szCs w:val="24"/>
          <w:lang w:val="en-US" w:eastAsia="zh-CN" w:bidi="ar"/>
        </w:rPr>
        <w:t>表 5-10 供配电单元安全检查表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19F1F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E5A52C4">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2410139D">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64168556">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1132499F">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19BD0163">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2D475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9BBB244">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w:t>
            </w:r>
          </w:p>
        </w:tc>
        <w:tc>
          <w:tcPr>
            <w:tcW w:w="2789" w:type="dxa"/>
            <w:vAlign w:val="center"/>
          </w:tcPr>
          <w:p w14:paraId="507B5551">
            <w:pPr>
              <w:keepNext w:val="0"/>
              <w:keepLines w:val="0"/>
              <w:widowControl/>
              <w:suppressLineNumbers w:val="0"/>
              <w:jc w:val="both"/>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用电产品的安装应符合相应产品标准的规定。用电产品应按照制造商要求的使用环境条件进行安装，如果不能满足制造商的环境要求，应该采取附加的安装措施，例如，为用电产品提供防止外来电气、机械、化学和物理应力的防护。一般条件下，用电产品的周围应留有足够的安全通道和工作空间，且不应堆放易燃、易爆和腐蚀性物品。</w:t>
            </w:r>
          </w:p>
        </w:tc>
        <w:tc>
          <w:tcPr>
            <w:tcW w:w="2376" w:type="dxa"/>
            <w:vAlign w:val="center"/>
          </w:tcPr>
          <w:p w14:paraId="01863126">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《用电安全导则》（GB/T 13869-2017）第 5.1.1 条</w:t>
            </w:r>
          </w:p>
        </w:tc>
        <w:tc>
          <w:tcPr>
            <w:tcW w:w="2575" w:type="dxa"/>
            <w:vAlign w:val="center"/>
          </w:tcPr>
          <w:p w14:paraId="09768224">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该厂内的用电产品按照要求进行安装，用电产品周边留有足够的安全通道和工作空间。</w:t>
            </w:r>
          </w:p>
        </w:tc>
        <w:tc>
          <w:tcPr>
            <w:tcW w:w="907" w:type="dxa"/>
            <w:vAlign w:val="center"/>
          </w:tcPr>
          <w:p w14:paraId="44C65E4F">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FB33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87C637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2</w:t>
            </w:r>
          </w:p>
        </w:tc>
        <w:tc>
          <w:tcPr>
            <w:tcW w:w="2789" w:type="dxa"/>
            <w:vAlign w:val="center"/>
          </w:tcPr>
          <w:p w14:paraId="5D187556">
            <w:pPr>
              <w:keepNext w:val="0"/>
              <w:keepLines w:val="0"/>
              <w:widowControl/>
              <w:suppressLineNumbers w:val="0"/>
              <w:jc w:val="both"/>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配电室的位置应靠近用电负荷中心，设置在尘埃少、腐蚀介质少、周围环境干燥和无剧烈震动的场所，并宜留有发展余地。</w:t>
            </w:r>
          </w:p>
        </w:tc>
        <w:tc>
          <w:tcPr>
            <w:tcW w:w="2376" w:type="dxa"/>
            <w:vAlign w:val="center"/>
          </w:tcPr>
          <w:p w14:paraId="650AA5DF">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《低压配电设计规范》（GB50054-2011）第 4.1.1 条</w:t>
            </w:r>
          </w:p>
        </w:tc>
        <w:tc>
          <w:tcPr>
            <w:tcW w:w="2575" w:type="dxa"/>
            <w:vAlign w:val="center"/>
          </w:tcPr>
          <w:p w14:paraId="74C57CCC">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该厂配电室布置在用电负荷区，留有足够的安全位置。</w:t>
            </w:r>
          </w:p>
        </w:tc>
        <w:tc>
          <w:tcPr>
            <w:tcW w:w="907" w:type="dxa"/>
            <w:vAlign w:val="center"/>
          </w:tcPr>
          <w:p w14:paraId="2A47B42F">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7FD12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734BD22">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2789" w:type="dxa"/>
            <w:vAlign w:val="center"/>
          </w:tcPr>
          <w:p w14:paraId="4B2CC63A">
            <w:pPr>
              <w:keepNext w:val="0"/>
              <w:keepLines w:val="0"/>
              <w:widowControl/>
              <w:suppressLineNumbers w:val="0"/>
              <w:jc w:val="both"/>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任何用电产品在运行过程中，应有必要的监控或监视措施；用电产品不允许超负荷运行。</w:t>
            </w:r>
          </w:p>
        </w:tc>
        <w:tc>
          <w:tcPr>
            <w:tcW w:w="2376" w:type="dxa"/>
            <w:vAlign w:val="center"/>
          </w:tcPr>
          <w:p w14:paraId="47618F64">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《用电安全导则》（GB/T 13869-2017）第 5.2.1 条</w:t>
            </w:r>
          </w:p>
        </w:tc>
        <w:tc>
          <w:tcPr>
            <w:tcW w:w="2575" w:type="dxa"/>
            <w:vAlign w:val="center"/>
          </w:tcPr>
          <w:p w14:paraId="5D4BABAC">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该厂内的电气装置均在负荷范围内运行。</w:t>
            </w:r>
          </w:p>
        </w:tc>
        <w:tc>
          <w:tcPr>
            <w:tcW w:w="907" w:type="dxa"/>
            <w:vAlign w:val="center"/>
          </w:tcPr>
          <w:p w14:paraId="5FE8140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4C85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D304A7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2789" w:type="dxa"/>
            <w:vAlign w:val="center"/>
          </w:tcPr>
          <w:p w14:paraId="2BDB51D8">
            <w:pPr>
              <w:keepNext w:val="0"/>
              <w:keepLines w:val="0"/>
              <w:widowControl/>
              <w:suppressLineNumbers w:val="0"/>
              <w:jc w:val="left"/>
              <w:rPr>
                <w:rFonts w:hint="default"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配电线路的敷设，应符合下列条件：1 与场所环境的特征相适应；2 与建筑物和构筑物的特征相适应；3 能承受短路可能出现的机电应力；4 能承受安装期间或运行中布线可能遭受的其他应力和导线的自重</w:t>
            </w:r>
            <w:r>
              <w:rPr>
                <w:rFonts w:hint="eastAsia" w:hAnsi="宋体" w:cs="宋体"/>
                <w:color w:val="000000"/>
                <w:kern w:val="0"/>
                <w:sz w:val="24"/>
                <w:szCs w:val="24"/>
                <w:lang w:val="en-US" w:eastAsia="zh-CN" w:bidi="ar"/>
              </w:rPr>
              <w:t>。</w:t>
            </w:r>
          </w:p>
        </w:tc>
        <w:tc>
          <w:tcPr>
            <w:tcW w:w="2376" w:type="dxa"/>
            <w:vAlign w:val="center"/>
          </w:tcPr>
          <w:p w14:paraId="555FFDBF">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《低压配电设计规范》（GB50054-2011）第 7.1.1 条</w:t>
            </w:r>
          </w:p>
        </w:tc>
        <w:tc>
          <w:tcPr>
            <w:tcW w:w="2575" w:type="dxa"/>
            <w:vAlign w:val="center"/>
          </w:tcPr>
          <w:p w14:paraId="2476489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配电线路的敷设满足要求。</w:t>
            </w:r>
          </w:p>
        </w:tc>
        <w:tc>
          <w:tcPr>
            <w:tcW w:w="907" w:type="dxa"/>
            <w:vAlign w:val="center"/>
          </w:tcPr>
          <w:p w14:paraId="0B5FE8B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693A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44A271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2789" w:type="dxa"/>
            <w:vAlign w:val="center"/>
          </w:tcPr>
          <w:p w14:paraId="025BB1A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落地式配电箱的底部宜抬高，高出地面的高度室内不应低于 50mm，室外不应低于 200mm；其底座周围应采取封闭措施，并应能防止鼠、蛇类等小动物进入箱内。</w:t>
            </w:r>
          </w:p>
        </w:tc>
        <w:tc>
          <w:tcPr>
            <w:tcW w:w="2376" w:type="dxa"/>
            <w:vAlign w:val="center"/>
          </w:tcPr>
          <w:p w14:paraId="5D7B353C">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《低压配电设计规范》（GB50054-2011）第 4.2.1 条</w:t>
            </w:r>
          </w:p>
        </w:tc>
        <w:tc>
          <w:tcPr>
            <w:tcW w:w="2575" w:type="dxa"/>
            <w:vAlign w:val="center"/>
          </w:tcPr>
          <w:p w14:paraId="6FDEA17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落地式配电箱有高出地面，并采取封闭措施。</w:t>
            </w:r>
          </w:p>
        </w:tc>
        <w:tc>
          <w:tcPr>
            <w:tcW w:w="907" w:type="dxa"/>
            <w:vAlign w:val="center"/>
          </w:tcPr>
          <w:p w14:paraId="4D4CA9D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E1D8F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BB0DBFD">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2789" w:type="dxa"/>
            <w:vAlign w:val="center"/>
          </w:tcPr>
          <w:p w14:paraId="39A653F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电气线路应具有足够的绝缘强度、机械强度和导电能力，其安装应符合相应产品标准的规定。</w:t>
            </w:r>
          </w:p>
        </w:tc>
        <w:tc>
          <w:tcPr>
            <w:tcW w:w="2376" w:type="dxa"/>
            <w:vAlign w:val="center"/>
          </w:tcPr>
          <w:p w14:paraId="3797A46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《用电安全导则》（GB/T 13869-2017）第 5.1.2 条</w:t>
            </w:r>
          </w:p>
        </w:tc>
        <w:tc>
          <w:tcPr>
            <w:tcW w:w="2575" w:type="dxa"/>
            <w:vAlign w:val="center"/>
          </w:tcPr>
          <w:p w14:paraId="4C4A13E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该厂区使用的电气线路具备足够的绝缘强度、机械强度和导电能力。</w:t>
            </w:r>
          </w:p>
        </w:tc>
        <w:tc>
          <w:tcPr>
            <w:tcW w:w="907" w:type="dxa"/>
            <w:vAlign w:val="center"/>
          </w:tcPr>
          <w:p w14:paraId="0ED4B7BF">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6EB589D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该 评 价 项 目 供 配 电 系 统 、 电 气 设 备 等 符 合 《 用 电 安 全 导 则 》（GB/T13869-2017）、《低压配电设计规范》（GB50054-2011）等规范标准中的相关内容的规定，能满足安全生产要求。</w:t>
      </w:r>
    </w:p>
    <w:p w14:paraId="5D15653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213" w:name="_Toc28699"/>
      <w:bookmarkStart w:id="214" w:name="_Toc17537"/>
      <w:r>
        <w:rPr>
          <w:rFonts w:hint="eastAsia" w:ascii="宋体" w:hAnsi="宋体" w:eastAsia="宋体" w:cs="宋体"/>
          <w:b/>
          <w:bCs/>
          <w:color w:val="000000"/>
          <w:kern w:val="0"/>
          <w:sz w:val="28"/>
          <w:szCs w:val="28"/>
          <w:lang w:val="en-US" w:eastAsia="zh-CN" w:bidi="ar"/>
        </w:rPr>
        <w:t>5.4.3 消防设施子单元</w:t>
      </w:r>
      <w:bookmarkEnd w:id="213"/>
      <w:bookmarkEnd w:id="214"/>
    </w:p>
    <w:p w14:paraId="02170AD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本节主要依据《中华人民共和国消防法》、《消防设施通用规范》</w:t>
      </w:r>
    </w:p>
    <w:p w14:paraId="337814EA">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（GB55036-2022）及《建筑灭火器配置设计规范》（GB50140-2005）等有关标准和规范，编制安全检查表对项目的消防措施进行检查评价。</w:t>
      </w:r>
    </w:p>
    <w:p w14:paraId="1D09D47F">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5-11 消防设施子单元安全检查表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54A29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3ABD69A">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691A87E4">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6C762CAF">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40D01FF2">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4A80E0A7">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58D24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4BFAA31">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w:t>
            </w:r>
          </w:p>
        </w:tc>
        <w:tc>
          <w:tcPr>
            <w:tcW w:w="2789" w:type="dxa"/>
            <w:vAlign w:val="center"/>
          </w:tcPr>
          <w:p w14:paraId="4F40831A">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机关、团体、企业、事业等单位应当按照国家标准、行业标准配置消防设施、器材，设置消防安全标志，并定期组织检验、维修，确保完好有效。</w:t>
            </w:r>
          </w:p>
        </w:tc>
        <w:tc>
          <w:tcPr>
            <w:tcW w:w="2376" w:type="dxa"/>
            <w:vAlign w:val="center"/>
          </w:tcPr>
          <w:p w14:paraId="137E5D8F">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《中华人民共和国消防法》第十六条</w:t>
            </w:r>
          </w:p>
        </w:tc>
        <w:tc>
          <w:tcPr>
            <w:tcW w:w="2575" w:type="dxa"/>
            <w:vAlign w:val="center"/>
          </w:tcPr>
          <w:p w14:paraId="61B1DE3D">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该项目办公楼、配电室、生产车间等处均按要求配备了灭火器。</w:t>
            </w:r>
          </w:p>
        </w:tc>
        <w:tc>
          <w:tcPr>
            <w:tcW w:w="907" w:type="dxa"/>
            <w:vAlign w:val="center"/>
          </w:tcPr>
          <w:p w14:paraId="51493986">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9FC5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2016D0D">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2</w:t>
            </w:r>
          </w:p>
        </w:tc>
        <w:tc>
          <w:tcPr>
            <w:tcW w:w="2789" w:type="dxa"/>
            <w:vAlign w:val="center"/>
          </w:tcPr>
          <w:p w14:paraId="3BA672F2">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任何单位、个人不得损坏、挪用或者擅自拆除、停用消防设施、器材，不得埋压、圈占、遮挡消火栓或者占用防火间距，不得占用、堵塞、封闭疏散通道、安全出口、消防车通道。人员密集场所的门窗不得设置影响逃生和灭火救援的障碍物。</w:t>
            </w:r>
          </w:p>
        </w:tc>
        <w:tc>
          <w:tcPr>
            <w:tcW w:w="2376" w:type="dxa"/>
            <w:vAlign w:val="center"/>
          </w:tcPr>
          <w:p w14:paraId="61D5DB94">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《中华人民共和国消防法》第二十八条</w:t>
            </w:r>
          </w:p>
        </w:tc>
        <w:tc>
          <w:tcPr>
            <w:tcW w:w="2575" w:type="dxa"/>
            <w:vAlign w:val="center"/>
          </w:tcPr>
          <w:p w14:paraId="57260F1A">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未占用、堵塞、封闭疏散通道、安全出口、消防车通道，未停用、拆除消防设施、器材。</w:t>
            </w:r>
          </w:p>
        </w:tc>
        <w:tc>
          <w:tcPr>
            <w:tcW w:w="907" w:type="dxa"/>
            <w:vAlign w:val="center"/>
          </w:tcPr>
          <w:p w14:paraId="3942DDA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DBBE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8F82763">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2789" w:type="dxa"/>
            <w:vAlign w:val="center"/>
          </w:tcPr>
          <w:p w14:paraId="6C88E98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投入使用后，应定期进行巡查、检查和维护，并应保证其处于正常运行或工作状态，不应擅自关停、拆改或移动。超过有效期的灭火介质、消防设施或经检验不符合继续使用要求的管道、组件和压力容器不应使用。</w:t>
            </w:r>
          </w:p>
        </w:tc>
        <w:tc>
          <w:tcPr>
            <w:tcW w:w="2376" w:type="dxa"/>
            <w:vAlign w:val="center"/>
          </w:tcPr>
          <w:p w14:paraId="6D21C5B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2.0.9 条</w:t>
            </w:r>
          </w:p>
        </w:tc>
        <w:tc>
          <w:tcPr>
            <w:tcW w:w="2575" w:type="dxa"/>
            <w:vAlign w:val="center"/>
          </w:tcPr>
          <w:p w14:paraId="771AFA3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本项目消防设施主要为灭火器，企业定期进行了检查、维护。</w:t>
            </w:r>
          </w:p>
        </w:tc>
        <w:tc>
          <w:tcPr>
            <w:tcW w:w="907" w:type="dxa"/>
            <w:vAlign w:val="center"/>
          </w:tcPr>
          <w:p w14:paraId="43682410">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D377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4C3112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2789" w:type="dxa"/>
            <w:vAlign w:val="center"/>
          </w:tcPr>
          <w:p w14:paraId="428125E4">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消防设施上或附近应设置区别于环境的明显标识，说明文字应准确、清楚且易于识别，颜色、符号或标志应规范。手动操作按钮等装置处应采取防止误操作或被损坏的防护措施。</w:t>
            </w:r>
          </w:p>
        </w:tc>
        <w:tc>
          <w:tcPr>
            <w:tcW w:w="2376" w:type="dxa"/>
            <w:vAlign w:val="center"/>
          </w:tcPr>
          <w:p w14:paraId="2C93420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2.0.10 条</w:t>
            </w:r>
          </w:p>
        </w:tc>
        <w:tc>
          <w:tcPr>
            <w:tcW w:w="2575" w:type="dxa"/>
            <w:vAlign w:val="center"/>
          </w:tcPr>
          <w:p w14:paraId="5A10069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本项目生产车间内消防栓箱、灭火器材等处均涂刷或粘贴了红色醒目的消防标识。</w:t>
            </w:r>
          </w:p>
        </w:tc>
        <w:tc>
          <w:tcPr>
            <w:tcW w:w="907" w:type="dxa"/>
            <w:vAlign w:val="center"/>
          </w:tcPr>
          <w:p w14:paraId="1FDFC3A0">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ABBC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165E0B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2789" w:type="dxa"/>
            <w:vAlign w:val="center"/>
          </w:tcPr>
          <w:p w14:paraId="557775A4">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应设置在位置明显和便于取用的地点，且不应影响人员安全疏散。当确需设置在有视线障碍的设置点时，应设置指示灭火器位置的醒目标志。灭火器应设置在位置明显和便于取用的地点，且不应影响人员安全疏散。当确需设置在有视线障碍的设置点时，应设置指示灭火器位置的醒目标志。</w:t>
            </w:r>
          </w:p>
        </w:tc>
        <w:tc>
          <w:tcPr>
            <w:tcW w:w="2376" w:type="dxa"/>
            <w:vAlign w:val="center"/>
          </w:tcPr>
          <w:p w14:paraId="30328A9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10.0.4 条</w:t>
            </w:r>
          </w:p>
        </w:tc>
        <w:tc>
          <w:tcPr>
            <w:tcW w:w="2575" w:type="dxa"/>
            <w:vAlign w:val="center"/>
          </w:tcPr>
          <w:p w14:paraId="12C4F79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置明显和便于取用的地点，且未影响安全疏散。</w:t>
            </w:r>
          </w:p>
        </w:tc>
        <w:tc>
          <w:tcPr>
            <w:tcW w:w="907" w:type="dxa"/>
            <w:vAlign w:val="center"/>
          </w:tcPr>
          <w:p w14:paraId="131C36AD">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1E047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C514DD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2789" w:type="dxa"/>
            <w:vAlign w:val="center"/>
          </w:tcPr>
          <w:p w14:paraId="7FC25768">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灭火器的摆放应稳固，其铭牌应朝外。手提式灭火器宜设置在灭火器箱内或挂钩、托架上，其顶部离地面高度不应大于 1.50m；底部离地面高度不宜小于0.08m。灭火器箱不得上锁。</w:t>
            </w:r>
          </w:p>
        </w:tc>
        <w:tc>
          <w:tcPr>
            <w:tcW w:w="2376" w:type="dxa"/>
            <w:vAlign w:val="center"/>
          </w:tcPr>
          <w:p w14:paraId="747A5DA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《建筑灭火器配置设计规范》（GB50140-2005）第 5.1.3 条</w:t>
            </w:r>
          </w:p>
        </w:tc>
        <w:tc>
          <w:tcPr>
            <w:tcW w:w="2575" w:type="dxa"/>
            <w:vAlign w:val="center"/>
          </w:tcPr>
          <w:p w14:paraId="704EDF4E">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本项目配备的干粉灭火器均采用灭火器箱装。</w:t>
            </w:r>
          </w:p>
        </w:tc>
        <w:tc>
          <w:tcPr>
            <w:tcW w:w="907" w:type="dxa"/>
            <w:vAlign w:val="center"/>
          </w:tcPr>
          <w:p w14:paraId="7D7100B2">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716C6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4C41D8B">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7</w:t>
            </w:r>
          </w:p>
        </w:tc>
        <w:tc>
          <w:tcPr>
            <w:tcW w:w="2789" w:type="dxa"/>
            <w:vAlign w:val="center"/>
          </w:tcPr>
          <w:p w14:paraId="431933D5">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灭火器不宜设置在潮湿或强腐蚀性的地点。当必须设置时，应有相应的保护措施。灭火器设置在室外时，应有相应的保护措施。</w:t>
            </w:r>
          </w:p>
        </w:tc>
        <w:tc>
          <w:tcPr>
            <w:tcW w:w="2376" w:type="dxa"/>
            <w:vAlign w:val="center"/>
          </w:tcPr>
          <w:p w14:paraId="71B973A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《建筑灭火器配置设计规范》（GB50140-2005）第 5.1.4 条</w:t>
            </w:r>
          </w:p>
        </w:tc>
        <w:tc>
          <w:tcPr>
            <w:tcW w:w="2575" w:type="dxa"/>
            <w:vAlign w:val="center"/>
          </w:tcPr>
          <w:p w14:paraId="023AB71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企业灭火器未设置在潮湿或强腐蚀性的地点。</w:t>
            </w:r>
          </w:p>
        </w:tc>
        <w:tc>
          <w:tcPr>
            <w:tcW w:w="907" w:type="dxa"/>
            <w:vAlign w:val="center"/>
          </w:tcPr>
          <w:p w14:paraId="75C886A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45286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28AB6E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8</w:t>
            </w:r>
          </w:p>
        </w:tc>
        <w:tc>
          <w:tcPr>
            <w:tcW w:w="2789" w:type="dxa"/>
            <w:vAlign w:val="center"/>
          </w:tcPr>
          <w:p w14:paraId="2B248C2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灭火器不应设置在可能超出其使用温度范围的场所，并应采取与设置场所环境条件相适应的防护措施。</w:t>
            </w:r>
          </w:p>
        </w:tc>
        <w:tc>
          <w:tcPr>
            <w:tcW w:w="2376" w:type="dxa"/>
            <w:vAlign w:val="center"/>
          </w:tcPr>
          <w:p w14:paraId="3DEC8893">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10.0.5 条</w:t>
            </w:r>
          </w:p>
        </w:tc>
        <w:tc>
          <w:tcPr>
            <w:tcW w:w="2575" w:type="dxa"/>
            <w:vAlign w:val="center"/>
          </w:tcPr>
          <w:p w14:paraId="7C53B06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企业灭火器未设置在超出其使用温度范围的地点。</w:t>
            </w:r>
          </w:p>
        </w:tc>
        <w:tc>
          <w:tcPr>
            <w:tcW w:w="907" w:type="dxa"/>
            <w:vAlign w:val="center"/>
          </w:tcPr>
          <w:p w14:paraId="132114F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409F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938FBD3">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9</w:t>
            </w:r>
          </w:p>
        </w:tc>
        <w:tc>
          <w:tcPr>
            <w:tcW w:w="2789" w:type="dxa"/>
            <w:vAlign w:val="center"/>
          </w:tcPr>
          <w:p w14:paraId="44465731">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灭火器配置场所应按计算单元计算与配置灭火器，并应符合下列规定：1 计算单元中每个灭火器设置点的灭火器配置数量应根据配置场所内的可燃物分布情况确定。所有设置点配置的灭火器灭火级别之和不应小于该计算单元的保护面积与单位灭火级别最大保护面积的比值。2 一个计算单元内配置的灭火器。数量应经计算确定且不应少于 2 具。</w:t>
            </w:r>
          </w:p>
        </w:tc>
        <w:tc>
          <w:tcPr>
            <w:tcW w:w="2376" w:type="dxa"/>
            <w:vAlign w:val="center"/>
          </w:tcPr>
          <w:p w14:paraId="1159AE3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《消防设施通用规范》（GB55036-2022）第 10.0.3 条</w:t>
            </w:r>
          </w:p>
        </w:tc>
        <w:tc>
          <w:tcPr>
            <w:tcW w:w="2575" w:type="dxa"/>
            <w:vAlign w:val="center"/>
          </w:tcPr>
          <w:p w14:paraId="53DECDE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灭火器配置符合要求 </w:t>
            </w:r>
          </w:p>
        </w:tc>
        <w:tc>
          <w:tcPr>
            <w:tcW w:w="907" w:type="dxa"/>
            <w:vAlign w:val="center"/>
          </w:tcPr>
          <w:p w14:paraId="55CD051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FC2D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6683336">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10</w:t>
            </w:r>
          </w:p>
        </w:tc>
        <w:tc>
          <w:tcPr>
            <w:tcW w:w="2789" w:type="dxa"/>
            <w:vAlign w:val="center"/>
          </w:tcPr>
          <w:p w14:paraId="4D892C1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每个设置点的灭火器数量不宜多于5具。</w:t>
            </w:r>
          </w:p>
        </w:tc>
        <w:tc>
          <w:tcPr>
            <w:tcW w:w="2376" w:type="dxa"/>
            <w:vAlign w:val="center"/>
          </w:tcPr>
          <w:p w14:paraId="6B85EBC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《建筑灭火器配置设计规范》（GB50140-2005）第 6.1.2 条 </w:t>
            </w:r>
          </w:p>
        </w:tc>
        <w:tc>
          <w:tcPr>
            <w:tcW w:w="2575" w:type="dxa"/>
            <w:vAlign w:val="center"/>
          </w:tcPr>
          <w:p w14:paraId="5D6E2424">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企业一个配置点不少于 2 具灭火器，不多于 5 具。</w:t>
            </w:r>
          </w:p>
        </w:tc>
        <w:tc>
          <w:tcPr>
            <w:tcW w:w="907" w:type="dxa"/>
            <w:vAlign w:val="center"/>
          </w:tcPr>
          <w:p w14:paraId="7FEBBD4A">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bl>
    <w:p w14:paraId="53A9D34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通过安全检查表分析可知，本项目消防设施符合《中华人民共和国消防法》、《消防设施通用规范》（GB55036-2022）及《建筑灭火器配置设计规范》（GB50140-2005）等有关标准和规范的要求。</w:t>
      </w:r>
    </w:p>
    <w:p w14:paraId="2F0B68D3">
      <w:pPr>
        <w:keepNext w:val="0"/>
        <w:keepLines w:val="0"/>
        <w:widowControl/>
        <w:suppressLineNumbers w:val="0"/>
        <w:jc w:val="left"/>
        <w:outlineLvl w:val="2"/>
        <w:rPr>
          <w:rFonts w:hint="eastAsia" w:ascii="宋体" w:hAnsi="宋体" w:eastAsia="宋体" w:cs="宋体"/>
          <w:b/>
          <w:bCs/>
          <w:color w:val="000000"/>
          <w:kern w:val="0"/>
          <w:sz w:val="28"/>
          <w:szCs w:val="28"/>
          <w:lang w:val="en-US" w:eastAsia="zh-CN" w:bidi="ar"/>
        </w:rPr>
      </w:pPr>
      <w:bookmarkStart w:id="215" w:name="_Toc19796"/>
      <w:bookmarkStart w:id="216" w:name="_Toc3370"/>
      <w:r>
        <w:rPr>
          <w:rFonts w:hint="eastAsia" w:ascii="宋体" w:hAnsi="宋体" w:eastAsia="宋体" w:cs="宋体"/>
          <w:b/>
          <w:bCs/>
          <w:color w:val="000000"/>
          <w:kern w:val="0"/>
          <w:sz w:val="28"/>
          <w:szCs w:val="28"/>
          <w:lang w:val="en-US" w:eastAsia="zh-CN" w:bidi="ar"/>
        </w:rPr>
        <w:t>5.4.4物料储存子单元</w:t>
      </w:r>
      <w:bookmarkEnd w:id="215"/>
      <w:bookmarkEnd w:id="216"/>
    </w:p>
    <w:p w14:paraId="74F853E8">
      <w:pPr>
        <w:keepNext w:val="0"/>
        <w:keepLines w:val="0"/>
        <w:pageBreakBefore w:val="0"/>
        <w:widowControl/>
        <w:suppressLineNumbers w:val="0"/>
        <w:kinsoku/>
        <w:wordWrap/>
        <w:overflowPunct/>
        <w:topLinePunct w:val="0"/>
        <w:autoSpaceDE/>
        <w:autoSpaceDN/>
        <w:bidi w:val="0"/>
        <w:adjustRightInd/>
        <w:snapToGrid/>
        <w:spacing w:after="157" w:afterLines="50"/>
        <w:jc w:val="center"/>
        <w:textAlignment w:val="auto"/>
        <w:rPr>
          <w:rFonts w:hint="eastAsia" w:ascii="宋体" w:hAnsi="宋体" w:eastAsia="宋体" w:cs="宋体"/>
          <w:b/>
          <w:bCs/>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5-12 物料储存子单元安全检查表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333DD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A275509">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2129A4F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4EE0667D">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32627B7C">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70D8F208">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6EED2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61B45B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70D9156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仓库内不应设置员工宿舍及与库房运行、管理无直接关系的其他用房。甲、乙类仓库内不应设置办公室、休息室等辅助用房，不应与办公室、休息室等辅助用房及其他场所贴邻。丙、丁类仓库 </w:t>
            </w:r>
          </w:p>
          <w:p w14:paraId="23FF314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内的办公室、休息室等辅助用房，应采用防火门、防火窗、耐火极限不低于 </w:t>
            </w:r>
          </w:p>
          <w:p w14:paraId="4D9CD8AA">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2.00h 的防火隔墙和耐火极限不低于1.00h 的楼板与其他部位分隔，并应设置独立的安全出口。</w:t>
            </w:r>
          </w:p>
        </w:tc>
        <w:tc>
          <w:tcPr>
            <w:tcW w:w="2376" w:type="dxa"/>
            <w:vAlign w:val="center"/>
          </w:tcPr>
          <w:p w14:paraId="7DCDAAC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《建筑防火通用规 </w:t>
            </w:r>
          </w:p>
          <w:p w14:paraId="618063E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范》 </w:t>
            </w:r>
          </w:p>
          <w:p w14:paraId="316107B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（GB55037-2022） </w:t>
            </w:r>
          </w:p>
          <w:p w14:paraId="1CC95BB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4.2.7 条</w:t>
            </w:r>
          </w:p>
          <w:p w14:paraId="4D3D1246">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2575" w:type="dxa"/>
            <w:vAlign w:val="center"/>
          </w:tcPr>
          <w:p w14:paraId="6F4C748C">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本项目物料储存场所均未设置员工宿舍及与库房运行、管理无直接关系的其他用房。</w:t>
            </w:r>
          </w:p>
        </w:tc>
        <w:tc>
          <w:tcPr>
            <w:tcW w:w="907" w:type="dxa"/>
            <w:vAlign w:val="center"/>
          </w:tcPr>
          <w:p w14:paraId="2BD00701">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09C84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03CFF74">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21C68B2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占地面积大于 300m²的地上仓库，安全出口不应少于 2 个；建筑面积大于100m²的地下或半地下仓库，安全出口不应少于 2 个。仓库内每个建筑面积大于 100m²的房间的疏散出口不应少于 2个。</w:t>
            </w:r>
          </w:p>
        </w:tc>
        <w:tc>
          <w:tcPr>
            <w:tcW w:w="2376" w:type="dxa"/>
            <w:vAlign w:val="center"/>
          </w:tcPr>
          <w:p w14:paraId="7741B20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《建筑防火通用规 </w:t>
            </w:r>
          </w:p>
          <w:p w14:paraId="3C65CF9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范》 </w:t>
            </w:r>
          </w:p>
          <w:p w14:paraId="394D6FF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（GB55037-2022） </w:t>
            </w:r>
          </w:p>
          <w:p w14:paraId="019536A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7.2.3 条</w:t>
            </w:r>
          </w:p>
          <w:p w14:paraId="1346968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2575" w:type="dxa"/>
            <w:vAlign w:val="center"/>
          </w:tcPr>
          <w:p w14:paraId="3D60F9D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设置有 2 个安全疏 </w:t>
            </w:r>
          </w:p>
          <w:p w14:paraId="0546B94D">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散出口。</w:t>
            </w:r>
          </w:p>
        </w:tc>
        <w:tc>
          <w:tcPr>
            <w:tcW w:w="907" w:type="dxa"/>
            <w:vAlign w:val="center"/>
          </w:tcPr>
          <w:p w14:paraId="731E0AB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328A0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C0B9F70">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2789" w:type="dxa"/>
            <w:vAlign w:val="center"/>
          </w:tcPr>
          <w:p w14:paraId="322E15D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仓储场所按储存物品的火灾危险性应按 GB 50016 的规定分为甲、乙、丙、丁、戊 5 类。</w:t>
            </w:r>
          </w:p>
        </w:tc>
        <w:tc>
          <w:tcPr>
            <w:tcW w:w="2376" w:type="dxa"/>
            <w:vAlign w:val="center"/>
          </w:tcPr>
          <w:p w14:paraId="664A887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《仓储场所消防安 </w:t>
            </w:r>
          </w:p>
          <w:p w14:paraId="4E10BB3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全管理通则》 </w:t>
            </w:r>
          </w:p>
          <w:p w14:paraId="7BF4BE3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（XF 1131-2014） </w:t>
            </w:r>
          </w:p>
          <w:p w14:paraId="0168AC16">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第 6.1 条</w:t>
            </w:r>
          </w:p>
        </w:tc>
        <w:tc>
          <w:tcPr>
            <w:tcW w:w="2575" w:type="dxa"/>
            <w:vAlign w:val="center"/>
          </w:tcPr>
          <w:p w14:paraId="5EA4EDC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本项目（小型仓库）火灾危险性为丁类，大件仓库火灾危险性仓库 </w:t>
            </w:r>
          </w:p>
          <w:p w14:paraId="2C703F9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为戊类。</w:t>
            </w:r>
          </w:p>
        </w:tc>
        <w:tc>
          <w:tcPr>
            <w:tcW w:w="907" w:type="dxa"/>
            <w:vAlign w:val="center"/>
          </w:tcPr>
          <w:p w14:paraId="3DC13A79">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616E4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BBC837C">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2789" w:type="dxa"/>
            <w:vAlign w:val="center"/>
          </w:tcPr>
          <w:p w14:paraId="2848F89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室内储存场所不应设置员工宿舍。甲、乙类物品的室内储存场所内不应设办公室。其他室内储存场所确需设办公室时，其耐火等级应为一、二级，且门、窗应直通库外。</w:t>
            </w:r>
          </w:p>
        </w:tc>
        <w:tc>
          <w:tcPr>
            <w:tcW w:w="2376" w:type="dxa"/>
            <w:vAlign w:val="center"/>
          </w:tcPr>
          <w:p w14:paraId="321A902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《仓储场所消防安 </w:t>
            </w:r>
          </w:p>
          <w:p w14:paraId="259FC30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全管理通则》 </w:t>
            </w:r>
          </w:p>
          <w:p w14:paraId="32FDB4F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（XF 1131-2014） </w:t>
            </w:r>
          </w:p>
          <w:p w14:paraId="58B7C1F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6.3 条</w:t>
            </w:r>
          </w:p>
        </w:tc>
        <w:tc>
          <w:tcPr>
            <w:tcW w:w="2575" w:type="dxa"/>
            <w:vAlign w:val="center"/>
          </w:tcPr>
          <w:p w14:paraId="13D9D512">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本项目仓库内未设置员工宿舍；</w:t>
            </w:r>
          </w:p>
        </w:tc>
        <w:tc>
          <w:tcPr>
            <w:tcW w:w="907" w:type="dxa"/>
            <w:vAlign w:val="center"/>
          </w:tcPr>
          <w:p w14:paraId="08E9A83E">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21403D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4BECC34">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2789" w:type="dxa"/>
            <w:vAlign w:val="center"/>
          </w:tcPr>
          <w:p w14:paraId="7AFB761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库房内需要设置货架堆放物品时，货架应采用非燃烧材料制作。货架不应遮挡消火栓、自动喷淋系统喷头以及排烟口。</w:t>
            </w:r>
          </w:p>
        </w:tc>
        <w:tc>
          <w:tcPr>
            <w:tcW w:w="2376" w:type="dxa"/>
            <w:vAlign w:val="center"/>
          </w:tcPr>
          <w:p w14:paraId="539E64D6">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《仓储场所消防安 </w:t>
            </w:r>
          </w:p>
          <w:p w14:paraId="3377B74F">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全管理通则》 </w:t>
            </w:r>
          </w:p>
          <w:p w14:paraId="0237B1E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（XF 1131-2014） </w:t>
            </w:r>
          </w:p>
          <w:p w14:paraId="607C785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6.9 条</w:t>
            </w:r>
          </w:p>
        </w:tc>
        <w:tc>
          <w:tcPr>
            <w:tcW w:w="2575" w:type="dxa"/>
            <w:vAlign w:val="center"/>
          </w:tcPr>
          <w:p w14:paraId="1851E28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配件仓库内采用货架堆放，货架为金属材料制作，未遮挡消火栓。</w:t>
            </w:r>
          </w:p>
        </w:tc>
        <w:tc>
          <w:tcPr>
            <w:tcW w:w="907" w:type="dxa"/>
            <w:vAlign w:val="center"/>
          </w:tcPr>
          <w:p w14:paraId="12AB0D58">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bl>
    <w:p w14:paraId="10F0FAE8">
      <w:pPr>
        <w:pStyle w:val="4"/>
        <w:keepNext/>
        <w:keepLines/>
        <w:pageBreakBefore w:val="0"/>
        <w:widowControl w:val="0"/>
        <w:kinsoku/>
        <w:wordWrap/>
        <w:overflowPunct/>
        <w:topLinePunct w:val="0"/>
        <w:autoSpaceDE/>
        <w:autoSpaceDN/>
        <w:bidi w:val="0"/>
        <w:adjustRightInd/>
        <w:snapToGrid w:val="0"/>
        <w:spacing w:before="0" w:after="0" w:line="600" w:lineRule="exact"/>
        <w:ind w:left="0" w:leftChars="0" w:firstLine="0" w:firstLineChars="0"/>
        <w:textAlignment w:val="auto"/>
        <w:rPr>
          <w:rFonts w:hint="eastAsia" w:ascii="宋体" w:hAnsi="宋体" w:eastAsia="宋体" w:cs="宋体"/>
          <w:b/>
          <w:bCs/>
          <w:snapToGrid w:val="0"/>
          <w:color w:val="auto"/>
          <w:kern w:val="0"/>
          <w:sz w:val="28"/>
          <w:szCs w:val="28"/>
        </w:rPr>
      </w:pPr>
      <w:bookmarkStart w:id="217" w:name="_Toc11389"/>
      <w:bookmarkStart w:id="218" w:name="_Toc18057"/>
      <w:bookmarkStart w:id="219" w:name="_Toc12305"/>
      <w:bookmarkStart w:id="220" w:name="_Toc4582"/>
      <w:r>
        <w:rPr>
          <w:rFonts w:hint="eastAsia" w:ascii="宋体" w:hAnsi="宋体" w:eastAsia="宋体" w:cs="宋体"/>
          <w:b/>
          <w:bCs/>
          <w:snapToGrid w:val="0"/>
          <w:color w:val="auto"/>
          <w:kern w:val="0"/>
          <w:sz w:val="28"/>
          <w:szCs w:val="28"/>
        </w:rPr>
        <w:t>5.</w:t>
      </w:r>
      <w:r>
        <w:rPr>
          <w:rFonts w:hint="eastAsia" w:ascii="宋体" w:hAnsi="宋体" w:eastAsia="宋体" w:cs="宋体"/>
          <w:b/>
          <w:bCs/>
          <w:snapToGrid w:val="0"/>
          <w:color w:val="auto"/>
          <w:kern w:val="0"/>
          <w:sz w:val="28"/>
          <w:szCs w:val="28"/>
          <w:lang w:val="en-US" w:eastAsia="zh-CN"/>
        </w:rPr>
        <w:t>4</w:t>
      </w:r>
      <w:r>
        <w:rPr>
          <w:rFonts w:hint="eastAsia" w:ascii="宋体" w:hAnsi="宋体" w:eastAsia="宋体" w:cs="宋体"/>
          <w:b/>
          <w:bCs/>
          <w:snapToGrid w:val="0"/>
          <w:color w:val="auto"/>
          <w:kern w:val="0"/>
          <w:sz w:val="28"/>
          <w:szCs w:val="28"/>
        </w:rPr>
        <w:t>.</w:t>
      </w:r>
      <w:r>
        <w:rPr>
          <w:rFonts w:hint="eastAsia" w:hAnsi="宋体" w:cs="宋体"/>
          <w:b/>
          <w:bCs/>
          <w:snapToGrid w:val="0"/>
          <w:color w:val="auto"/>
          <w:kern w:val="0"/>
          <w:sz w:val="28"/>
          <w:szCs w:val="28"/>
          <w:lang w:val="en-US" w:eastAsia="zh-CN"/>
        </w:rPr>
        <w:t>5</w:t>
      </w:r>
      <w:r>
        <w:rPr>
          <w:rFonts w:hint="eastAsia" w:ascii="宋体" w:hAnsi="宋体" w:eastAsia="宋体" w:cs="宋体"/>
          <w:b/>
          <w:bCs/>
          <w:snapToGrid w:val="0"/>
          <w:color w:val="auto"/>
          <w:kern w:val="0"/>
          <w:sz w:val="28"/>
          <w:szCs w:val="28"/>
        </w:rPr>
        <w:t>变、配电系统火灾爆炸子单元事故树分析</w:t>
      </w:r>
      <w:bookmarkEnd w:id="217"/>
      <w:bookmarkEnd w:id="218"/>
      <w:bookmarkEnd w:id="219"/>
      <w:bookmarkEnd w:id="220"/>
    </w:p>
    <w:p w14:paraId="3930918A">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（1）变、配电系统火灾爆炸原因分析</w:t>
      </w:r>
    </w:p>
    <w:p w14:paraId="59841EE3">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该项目配套建设</w:t>
      </w:r>
      <w:r>
        <w:rPr>
          <w:rFonts w:hint="eastAsia" w:ascii="宋体" w:hAnsi="宋体" w:eastAsia="宋体" w:cs="宋体"/>
          <w:color w:val="auto"/>
          <w:sz w:val="28"/>
          <w:szCs w:val="28"/>
          <w:lang w:val="en-US" w:eastAsia="zh-CN"/>
        </w:rPr>
        <w:t>两</w:t>
      </w:r>
      <w:r>
        <w:rPr>
          <w:rFonts w:hint="eastAsia" w:ascii="宋体" w:hAnsi="宋体" w:eastAsia="宋体" w:cs="宋体"/>
          <w:color w:val="auto"/>
          <w:sz w:val="28"/>
          <w:szCs w:val="28"/>
        </w:rPr>
        <w:t>台室外变电器，根据生产需要，设置了配电室。各种高低压配电装置、电气设备、电器、照明设施、电缆、电气线路等，</w:t>
      </w:r>
      <w:r>
        <w:rPr>
          <w:rFonts w:hint="eastAsia" w:ascii="宋体" w:hAnsi="宋体" w:eastAsia="宋体" w:cs="宋体"/>
          <w:color w:val="auto"/>
          <w:spacing w:val="-2"/>
          <w:sz w:val="28"/>
          <w:szCs w:val="28"/>
        </w:rPr>
        <w:t>如果安装不当、外部火源移近、运行中正常的闭合与分断、不正常运行的过负荷、短路、过电压、接地故障、接触不良等，均可产生电气火花、电弧或者过热，若防护不当，可能发生电气火灾或引燃周围的可燃物质，造成火灾事故；在有过载电流流过时，还可能使导线（含母线、开关）过热，金属迅速气化而引起爆炸；充油电气设备（油浸电力变压器、电压互感器等）运行时一旦发生故障，产生的电弧使箱体内绝缘油的温度、压力升高，绝缘油喷出甚至爆裂喷出，同时电弧引起绝缘油着火，还有可能引起爆炸。变压器的火灾成因主要有：</w:t>
      </w:r>
    </w:p>
    <w:p w14:paraId="0AF01E4A">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①变压器超负荷运行，引起温度升高，造成绝缘不良；变压器铁芯叠装不良，芯片间绝缘老化，引起铁损增加，造成变压器过热，如此时保护系统失灵或整定值调整过大，就会烧毁变压器。</w:t>
      </w:r>
    </w:p>
    <w:p w14:paraId="21364D78">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②变压器线圈受机械损伤或受潮，引起层间、匝间或对地短路，或硅钢片之间绝缘老化，或者紧夹铁芯的螺栓套管损坏，使铁芯产生很大涡流，引起发热而温度升高，引发火灾。</w:t>
      </w:r>
    </w:p>
    <w:p w14:paraId="7F1D1132">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ascii="宋体" w:hAnsi="宋体" w:eastAsia="宋体" w:cs="宋体"/>
          <w:color w:val="auto"/>
          <w:sz w:val="28"/>
          <w:szCs w:val="28"/>
          <w:lang w:eastAsia="zh-CN"/>
        </w:rPr>
      </w:pPr>
      <w:r>
        <w:rPr>
          <w:rFonts w:hint="eastAsia" w:ascii="宋体" w:hAnsi="宋体" w:eastAsia="宋体" w:cs="宋体"/>
          <w:color w:val="auto"/>
          <w:sz w:val="28"/>
          <w:szCs w:val="28"/>
        </w:rPr>
        <w:t>③线圈内部接头、线圈之间连接点和引至高、低压瓷套管的接点及分接开关上各接点，如接触不良会产生局部过热，破坏线圈绝缘，发生短路或断路，此时所产生的高温电弧，同样会使绝缘油迅速分解，产生大量气体，使压力骤增，破坏力大，后果严重。导线接触不良主要是由于螺栓松动、焊接不牢及分接开关接点损坏等原因所造成。</w:t>
      </w:r>
    </w:p>
    <w:p w14:paraId="404C2A98">
      <w:pPr>
        <w:keepNext w:val="0"/>
        <w:keepLines w:val="0"/>
        <w:pageBreakBefore w:val="0"/>
        <w:widowControl w:val="0"/>
        <w:kinsoku/>
        <w:wordWrap/>
        <w:overflowPunct/>
        <w:topLinePunct w:val="0"/>
        <w:autoSpaceDE/>
        <w:autoSpaceDN/>
        <w:bidi w:val="0"/>
        <w:adjustRightInd/>
        <w:snapToGrid w:val="0"/>
        <w:spacing w:line="600" w:lineRule="exact"/>
        <w:ind w:firstLine="480" w:firstLineChars="200"/>
        <w:textAlignment w:val="auto"/>
        <w:rPr>
          <w:rFonts w:hint="default"/>
          <w:lang w:val="en-US" w:eastAsia="zh-CN"/>
        </w:rPr>
        <w:sectPr>
          <w:headerReference r:id="rId5" w:type="default"/>
          <w:footerReference r:id="rId6" w:type="default"/>
          <w:pgSz w:w="11906" w:h="16838"/>
          <w:pgMar w:top="1417" w:right="1134" w:bottom="1134" w:left="1587" w:header="851" w:footer="992" w:gutter="0"/>
          <w:pgNumType w:fmt="numberInDash" w:start="1"/>
          <w:cols w:space="0" w:num="1"/>
          <w:rtlGutter w:val="0"/>
          <w:docGrid w:type="lines" w:linePitch="312" w:charSpace="0"/>
        </w:sectPr>
      </w:pPr>
      <w:r>
        <w:rPr>
          <w:rFonts w:hint="eastAsia" w:ascii="宋体" w:hAnsi="宋体" w:eastAsia="宋体" w:cs="宋体"/>
          <w:color w:val="auto"/>
          <w:spacing w:val="-20"/>
          <w:sz w:val="28"/>
          <w:szCs w:val="28"/>
        </w:rPr>
        <w:t>④</w:t>
      </w:r>
      <w:r>
        <w:rPr>
          <w:rFonts w:hint="eastAsia" w:ascii="宋体" w:hAnsi="宋体" w:eastAsia="宋体" w:cs="宋体"/>
          <w:color w:val="auto"/>
          <w:spacing w:val="-6"/>
          <w:sz w:val="28"/>
          <w:szCs w:val="28"/>
        </w:rPr>
        <w:t>油浸电力变压器的电流，大多由高压电线引来，很易遭到雷击</w:t>
      </w:r>
      <w:r>
        <w:rPr>
          <w:rFonts w:hint="eastAsia" w:ascii="宋体" w:hAnsi="宋体" w:eastAsia="宋体" w:cs="宋体"/>
          <w:color w:val="auto"/>
          <w:sz w:val="28"/>
          <w:szCs w:val="28"/>
        </w:rPr>
        <w:t>产生的过电压侵袭，击穿变压器绝缘，甚至烧毁变压器，引起火灾。</w:t>
      </w:r>
    </w:p>
    <w:p w14:paraId="3853F6F0">
      <w:pPr>
        <w:keepNext w:val="0"/>
        <w:keepLines w:val="0"/>
        <w:pageBreakBefore w:val="0"/>
        <w:widowControl w:val="0"/>
        <w:kinsoku/>
        <w:wordWrap/>
        <w:overflowPunct/>
        <w:topLinePunct w:val="0"/>
        <w:autoSpaceDE/>
        <w:autoSpaceDN/>
        <w:bidi w:val="0"/>
        <w:adjustRightInd/>
        <w:snapToGrid w:val="0"/>
        <w:spacing w:line="600" w:lineRule="exact"/>
        <w:textAlignment w:val="auto"/>
        <w:rPr>
          <w:color w:val="auto"/>
          <w:sz w:val="28"/>
          <w:szCs w:val="28"/>
        </w:rPr>
      </w:pPr>
      <w:r>
        <w:rPr>
          <w:color w:val="auto"/>
          <w:sz w:val="28"/>
          <w:szCs w:val="28"/>
        </w:rPr>
        <w:t>b.</w:t>
      </w:r>
      <w:r>
        <w:rPr>
          <w:rFonts w:hAnsi="宋体"/>
          <w:color w:val="auto"/>
          <w:sz w:val="28"/>
          <w:szCs w:val="28"/>
        </w:rPr>
        <w:t>求最小割集</w:t>
      </w:r>
    </w:p>
    <w:p w14:paraId="481B2D68">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T=A1A2=</w:t>
      </w:r>
      <w:r>
        <w:rPr>
          <w:rFonts w:hAnsi="宋体"/>
          <w:color w:val="auto"/>
          <w:sz w:val="28"/>
          <w:szCs w:val="28"/>
        </w:rPr>
        <w:t>（</w:t>
      </w:r>
      <w:r>
        <w:rPr>
          <w:color w:val="auto"/>
          <w:sz w:val="28"/>
          <w:szCs w:val="28"/>
        </w:rPr>
        <w:t>B1+B2+B3+B4</w:t>
      </w:r>
      <w:r>
        <w:rPr>
          <w:rFonts w:hAnsi="宋体"/>
          <w:color w:val="auto"/>
          <w:sz w:val="28"/>
          <w:szCs w:val="28"/>
        </w:rPr>
        <w:t>）（</w:t>
      </w:r>
      <w:r>
        <w:rPr>
          <w:color w:val="auto"/>
          <w:sz w:val="28"/>
          <w:szCs w:val="28"/>
        </w:rPr>
        <w:t>B5+B6+X19</w:t>
      </w:r>
      <w:r>
        <w:rPr>
          <w:rFonts w:hAnsi="宋体"/>
          <w:color w:val="auto"/>
          <w:sz w:val="28"/>
          <w:szCs w:val="28"/>
        </w:rPr>
        <w:t>）</w:t>
      </w:r>
    </w:p>
    <w:p w14:paraId="13732CED">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w:t>
      </w:r>
      <w:r>
        <w:rPr>
          <w:rFonts w:hAnsi="宋体"/>
          <w:color w:val="auto"/>
          <w:spacing w:val="-20"/>
          <w:sz w:val="28"/>
          <w:szCs w:val="28"/>
        </w:rPr>
        <w:t>［</w:t>
      </w:r>
      <w:r>
        <w:rPr>
          <w:color w:val="auto"/>
          <w:spacing w:val="-20"/>
          <w:sz w:val="28"/>
          <w:szCs w:val="28"/>
        </w:rPr>
        <w:t>X23</w:t>
      </w:r>
      <w:r>
        <w:rPr>
          <w:rFonts w:hAnsi="宋体"/>
          <w:color w:val="auto"/>
          <w:spacing w:val="-20"/>
          <w:sz w:val="28"/>
          <w:szCs w:val="28"/>
        </w:rPr>
        <w:t>（</w:t>
      </w:r>
      <w:r>
        <w:rPr>
          <w:color w:val="auto"/>
          <w:spacing w:val="-20"/>
          <w:sz w:val="28"/>
          <w:szCs w:val="28"/>
        </w:rPr>
        <w:t>X1+X2+X3+X4+X5+X6+X7+X8+X9+X10</w:t>
      </w:r>
      <w:r>
        <w:rPr>
          <w:rFonts w:hAnsi="宋体"/>
          <w:color w:val="auto"/>
          <w:spacing w:val="-20"/>
          <w:sz w:val="28"/>
          <w:szCs w:val="28"/>
        </w:rPr>
        <w:t>）</w:t>
      </w:r>
      <w:r>
        <w:rPr>
          <w:color w:val="auto"/>
          <w:spacing w:val="-20"/>
          <w:sz w:val="28"/>
          <w:szCs w:val="28"/>
        </w:rPr>
        <w:t>+X11</w:t>
      </w:r>
      <w:r>
        <w:rPr>
          <w:rFonts w:hAnsi="宋体"/>
          <w:color w:val="auto"/>
          <w:spacing w:val="-20"/>
          <w:sz w:val="28"/>
          <w:szCs w:val="28"/>
        </w:rPr>
        <w:t>（</w:t>
      </w:r>
      <w:r>
        <w:rPr>
          <w:color w:val="auto"/>
          <w:spacing w:val="-20"/>
          <w:sz w:val="28"/>
          <w:szCs w:val="28"/>
        </w:rPr>
        <w:t>X12+X13+X14</w:t>
      </w:r>
      <w:r>
        <w:rPr>
          <w:rFonts w:hAnsi="宋体"/>
          <w:color w:val="auto"/>
          <w:spacing w:val="-20"/>
          <w:sz w:val="28"/>
          <w:szCs w:val="28"/>
        </w:rPr>
        <w:t>）</w:t>
      </w:r>
      <w:r>
        <w:rPr>
          <w:color w:val="auto"/>
          <w:spacing w:val="-20"/>
          <w:sz w:val="28"/>
          <w:szCs w:val="28"/>
        </w:rPr>
        <w:t>+</w:t>
      </w:r>
      <w:r>
        <w:rPr>
          <w:rFonts w:hAnsi="宋体"/>
          <w:color w:val="auto"/>
          <w:spacing w:val="-20"/>
          <w:sz w:val="28"/>
          <w:szCs w:val="28"/>
        </w:rPr>
        <w:t>（</w:t>
      </w:r>
      <w:r>
        <w:rPr>
          <w:color w:val="auto"/>
          <w:spacing w:val="-20"/>
          <w:sz w:val="28"/>
          <w:szCs w:val="28"/>
        </w:rPr>
        <w:t>X15+X16</w:t>
      </w:r>
      <w:r>
        <w:rPr>
          <w:rFonts w:hAnsi="宋体"/>
          <w:color w:val="auto"/>
          <w:spacing w:val="-20"/>
          <w:sz w:val="28"/>
          <w:szCs w:val="28"/>
        </w:rPr>
        <w:t>）］（</w:t>
      </w:r>
      <w:r>
        <w:rPr>
          <w:color w:val="auto"/>
          <w:spacing w:val="-20"/>
          <w:sz w:val="28"/>
          <w:szCs w:val="28"/>
        </w:rPr>
        <w:t>X17+X18+X19+X20+X21+X22</w:t>
      </w:r>
      <w:r>
        <w:rPr>
          <w:rFonts w:hAnsi="宋体"/>
          <w:color w:val="auto"/>
          <w:spacing w:val="-20"/>
          <w:sz w:val="28"/>
          <w:szCs w:val="28"/>
        </w:rPr>
        <w:t>）</w:t>
      </w:r>
    </w:p>
    <w:p w14:paraId="2F095110">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rFonts w:hAnsi="宋体"/>
          <w:color w:val="auto"/>
          <w:sz w:val="28"/>
          <w:szCs w:val="28"/>
        </w:rPr>
        <w:t>将上式展开可得出</w:t>
      </w:r>
      <w:r>
        <w:rPr>
          <w:color w:val="auto"/>
          <w:sz w:val="28"/>
          <w:szCs w:val="28"/>
        </w:rPr>
        <w:t>90</w:t>
      </w:r>
      <w:r>
        <w:rPr>
          <w:rFonts w:hAnsi="宋体"/>
          <w:color w:val="auto"/>
          <w:sz w:val="28"/>
          <w:szCs w:val="28"/>
        </w:rPr>
        <w:t>个最小割集。</w:t>
      </w:r>
    </w:p>
    <w:p w14:paraId="42AD4ADF">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c.</w:t>
      </w:r>
      <w:r>
        <w:rPr>
          <w:rFonts w:hAnsi="宋体"/>
          <w:color w:val="auto"/>
          <w:sz w:val="28"/>
          <w:szCs w:val="28"/>
        </w:rPr>
        <w:t>求最小径集</w:t>
      </w:r>
    </w:p>
    <w:p w14:paraId="0F86E4F5">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T</w:t>
      </w:r>
      <w:r>
        <w:rPr>
          <w:rFonts w:hint="eastAsia" w:hAnsi="宋体"/>
          <w:color w:val="auto"/>
          <w:sz w:val="28"/>
          <w:szCs w:val="28"/>
        </w:rPr>
        <w:t>‘</w:t>
      </w:r>
      <w:r>
        <w:rPr>
          <w:color w:val="auto"/>
          <w:sz w:val="28"/>
          <w:szCs w:val="28"/>
        </w:rPr>
        <w:t>=A1</w:t>
      </w:r>
      <w:r>
        <w:rPr>
          <w:rFonts w:hAnsi="宋体"/>
          <w:color w:val="auto"/>
          <w:sz w:val="28"/>
          <w:szCs w:val="28"/>
        </w:rPr>
        <w:t>＇</w:t>
      </w:r>
      <w:r>
        <w:rPr>
          <w:color w:val="auto"/>
          <w:sz w:val="28"/>
          <w:szCs w:val="28"/>
        </w:rPr>
        <w:t>+A2</w:t>
      </w:r>
      <w:r>
        <w:rPr>
          <w:rFonts w:hAnsi="宋体"/>
          <w:color w:val="auto"/>
          <w:sz w:val="28"/>
          <w:szCs w:val="28"/>
        </w:rPr>
        <w:t>＇</w:t>
      </w:r>
      <w:r>
        <w:rPr>
          <w:color w:val="auto"/>
          <w:sz w:val="28"/>
          <w:szCs w:val="28"/>
        </w:rPr>
        <w:t>=</w:t>
      </w:r>
      <w:r>
        <w:rPr>
          <w:rFonts w:hAnsi="宋体"/>
          <w:color w:val="auto"/>
          <w:sz w:val="28"/>
          <w:szCs w:val="28"/>
        </w:rPr>
        <w:t>（</w:t>
      </w:r>
      <w:r>
        <w:rPr>
          <w:color w:val="auto"/>
          <w:sz w:val="28"/>
          <w:szCs w:val="28"/>
        </w:rPr>
        <w:t>B1</w:t>
      </w:r>
      <w:r>
        <w:rPr>
          <w:rFonts w:hAnsi="宋体"/>
          <w:color w:val="auto"/>
          <w:sz w:val="28"/>
          <w:szCs w:val="28"/>
        </w:rPr>
        <w:t>＇</w:t>
      </w:r>
      <w:r>
        <w:rPr>
          <w:color w:val="auto"/>
          <w:sz w:val="28"/>
          <w:szCs w:val="28"/>
        </w:rPr>
        <w:t>B2</w:t>
      </w:r>
      <w:r>
        <w:rPr>
          <w:rFonts w:hAnsi="宋体"/>
          <w:color w:val="auto"/>
          <w:sz w:val="28"/>
          <w:szCs w:val="28"/>
        </w:rPr>
        <w:t>＇</w:t>
      </w:r>
      <w:r>
        <w:rPr>
          <w:color w:val="auto"/>
          <w:sz w:val="28"/>
          <w:szCs w:val="28"/>
        </w:rPr>
        <w:t>B3</w:t>
      </w:r>
      <w:r>
        <w:rPr>
          <w:rFonts w:hAnsi="宋体"/>
          <w:color w:val="auto"/>
          <w:sz w:val="28"/>
          <w:szCs w:val="28"/>
        </w:rPr>
        <w:t>＇</w:t>
      </w:r>
      <w:r>
        <w:rPr>
          <w:color w:val="auto"/>
          <w:sz w:val="28"/>
          <w:szCs w:val="28"/>
        </w:rPr>
        <w:t>B4</w:t>
      </w:r>
      <w:r>
        <w:rPr>
          <w:rFonts w:hAnsi="宋体"/>
          <w:color w:val="auto"/>
          <w:sz w:val="28"/>
          <w:szCs w:val="28"/>
        </w:rPr>
        <w:t>＇）</w:t>
      </w:r>
      <w:r>
        <w:rPr>
          <w:color w:val="auto"/>
          <w:sz w:val="28"/>
          <w:szCs w:val="28"/>
        </w:rPr>
        <w:t>+B5</w:t>
      </w:r>
      <w:r>
        <w:rPr>
          <w:rFonts w:hAnsi="宋体"/>
          <w:color w:val="auto"/>
          <w:sz w:val="28"/>
          <w:szCs w:val="28"/>
        </w:rPr>
        <w:t>＇</w:t>
      </w:r>
      <w:r>
        <w:rPr>
          <w:color w:val="auto"/>
          <w:sz w:val="28"/>
          <w:szCs w:val="28"/>
        </w:rPr>
        <w:t>B6</w:t>
      </w:r>
      <w:r>
        <w:rPr>
          <w:rFonts w:hAnsi="宋体"/>
          <w:color w:val="auto"/>
          <w:sz w:val="28"/>
          <w:szCs w:val="28"/>
        </w:rPr>
        <w:t>＇</w:t>
      </w:r>
      <w:r>
        <w:rPr>
          <w:color w:val="auto"/>
          <w:sz w:val="28"/>
          <w:szCs w:val="28"/>
        </w:rPr>
        <w:t>X19</w:t>
      </w:r>
      <w:r>
        <w:rPr>
          <w:rFonts w:hAnsi="宋体"/>
          <w:color w:val="auto"/>
          <w:sz w:val="28"/>
          <w:szCs w:val="28"/>
        </w:rPr>
        <w:t>＇</w:t>
      </w:r>
    </w:p>
    <w:p w14:paraId="233174D4">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w:t>
      </w:r>
      <w:r>
        <w:rPr>
          <w:color w:val="auto"/>
          <w:spacing w:val="-20"/>
          <w:sz w:val="28"/>
          <w:szCs w:val="28"/>
        </w:rPr>
        <w:t>[X23</w:t>
      </w:r>
      <w:r>
        <w:rPr>
          <w:rFonts w:hAnsi="宋体"/>
          <w:color w:val="auto"/>
          <w:spacing w:val="-20"/>
          <w:sz w:val="28"/>
          <w:szCs w:val="28"/>
        </w:rPr>
        <w:t>＇</w:t>
      </w:r>
      <w:r>
        <w:rPr>
          <w:color w:val="auto"/>
          <w:spacing w:val="-20"/>
          <w:sz w:val="28"/>
          <w:szCs w:val="28"/>
        </w:rPr>
        <w:t>+</w:t>
      </w:r>
      <w:r>
        <w:rPr>
          <w:rFonts w:hAnsi="宋体"/>
          <w:color w:val="auto"/>
          <w:spacing w:val="-20"/>
          <w:sz w:val="28"/>
          <w:szCs w:val="28"/>
        </w:rPr>
        <w:t>（</w:t>
      </w:r>
      <w:r>
        <w:rPr>
          <w:color w:val="auto"/>
          <w:spacing w:val="-20"/>
          <w:sz w:val="28"/>
          <w:szCs w:val="28"/>
        </w:rPr>
        <w:t>X1</w:t>
      </w:r>
      <w:r>
        <w:rPr>
          <w:rFonts w:hAnsi="宋体"/>
          <w:color w:val="auto"/>
          <w:spacing w:val="-20"/>
          <w:sz w:val="28"/>
          <w:szCs w:val="28"/>
        </w:rPr>
        <w:t>＇</w:t>
      </w:r>
      <w:r>
        <w:rPr>
          <w:color w:val="auto"/>
          <w:spacing w:val="-20"/>
          <w:sz w:val="28"/>
          <w:szCs w:val="28"/>
        </w:rPr>
        <w:t>X2</w:t>
      </w:r>
      <w:r>
        <w:rPr>
          <w:rFonts w:hAnsi="宋体"/>
          <w:color w:val="auto"/>
          <w:spacing w:val="-20"/>
          <w:sz w:val="28"/>
          <w:szCs w:val="28"/>
        </w:rPr>
        <w:t>＇</w:t>
      </w:r>
      <w:r>
        <w:rPr>
          <w:color w:val="auto"/>
          <w:spacing w:val="-20"/>
          <w:sz w:val="28"/>
          <w:szCs w:val="28"/>
        </w:rPr>
        <w:t>X3</w:t>
      </w:r>
      <w:r>
        <w:rPr>
          <w:rFonts w:hAnsi="宋体"/>
          <w:color w:val="auto"/>
          <w:spacing w:val="-20"/>
          <w:sz w:val="28"/>
          <w:szCs w:val="28"/>
        </w:rPr>
        <w:t>＇</w:t>
      </w:r>
      <w:r>
        <w:rPr>
          <w:color w:val="auto"/>
          <w:spacing w:val="-20"/>
          <w:sz w:val="28"/>
          <w:szCs w:val="28"/>
        </w:rPr>
        <w:t>X4</w:t>
      </w:r>
      <w:r>
        <w:rPr>
          <w:rFonts w:hAnsi="宋体"/>
          <w:color w:val="auto"/>
          <w:spacing w:val="-20"/>
          <w:sz w:val="28"/>
          <w:szCs w:val="28"/>
        </w:rPr>
        <w:t>＇</w:t>
      </w:r>
      <w:r>
        <w:rPr>
          <w:color w:val="auto"/>
          <w:spacing w:val="-20"/>
          <w:sz w:val="28"/>
          <w:szCs w:val="28"/>
        </w:rPr>
        <w:t>X5</w:t>
      </w:r>
      <w:r>
        <w:rPr>
          <w:rFonts w:hAnsi="宋体"/>
          <w:color w:val="auto"/>
          <w:spacing w:val="-20"/>
          <w:sz w:val="28"/>
          <w:szCs w:val="28"/>
        </w:rPr>
        <w:t>＇</w:t>
      </w:r>
      <w:r>
        <w:rPr>
          <w:color w:val="auto"/>
          <w:spacing w:val="-20"/>
          <w:sz w:val="28"/>
          <w:szCs w:val="28"/>
        </w:rPr>
        <w:t>X6</w:t>
      </w:r>
      <w:r>
        <w:rPr>
          <w:rFonts w:hAnsi="宋体"/>
          <w:color w:val="auto"/>
          <w:spacing w:val="-20"/>
          <w:sz w:val="28"/>
          <w:szCs w:val="28"/>
        </w:rPr>
        <w:t>＇</w:t>
      </w:r>
      <w:r>
        <w:rPr>
          <w:color w:val="auto"/>
          <w:spacing w:val="-20"/>
          <w:sz w:val="28"/>
          <w:szCs w:val="28"/>
        </w:rPr>
        <w:t>X7</w:t>
      </w:r>
      <w:r>
        <w:rPr>
          <w:rFonts w:hAnsi="宋体"/>
          <w:color w:val="auto"/>
          <w:spacing w:val="-20"/>
          <w:sz w:val="28"/>
          <w:szCs w:val="28"/>
        </w:rPr>
        <w:t>＇</w:t>
      </w:r>
      <w:r>
        <w:rPr>
          <w:color w:val="auto"/>
          <w:spacing w:val="-20"/>
          <w:sz w:val="28"/>
          <w:szCs w:val="28"/>
        </w:rPr>
        <w:t>X8</w:t>
      </w:r>
      <w:r>
        <w:rPr>
          <w:rFonts w:hAnsi="宋体"/>
          <w:color w:val="auto"/>
          <w:spacing w:val="-20"/>
          <w:sz w:val="28"/>
          <w:szCs w:val="28"/>
        </w:rPr>
        <w:t>＇</w:t>
      </w:r>
      <w:r>
        <w:rPr>
          <w:color w:val="auto"/>
          <w:spacing w:val="-20"/>
          <w:sz w:val="28"/>
          <w:szCs w:val="28"/>
        </w:rPr>
        <w:t>X9</w:t>
      </w:r>
      <w:r>
        <w:rPr>
          <w:rFonts w:hAnsi="宋体"/>
          <w:color w:val="auto"/>
          <w:spacing w:val="-20"/>
          <w:sz w:val="28"/>
          <w:szCs w:val="28"/>
        </w:rPr>
        <w:t>＇</w:t>
      </w:r>
      <w:r>
        <w:rPr>
          <w:color w:val="auto"/>
          <w:spacing w:val="-20"/>
          <w:sz w:val="28"/>
          <w:szCs w:val="28"/>
        </w:rPr>
        <w:t>X10</w:t>
      </w:r>
      <w:r>
        <w:rPr>
          <w:rFonts w:hAnsi="宋体"/>
          <w:color w:val="auto"/>
          <w:spacing w:val="-20"/>
          <w:sz w:val="28"/>
          <w:szCs w:val="28"/>
        </w:rPr>
        <w:t>＇）</w:t>
      </w:r>
      <w:r>
        <w:rPr>
          <w:color w:val="auto"/>
          <w:spacing w:val="-20"/>
          <w:sz w:val="28"/>
          <w:szCs w:val="28"/>
        </w:rPr>
        <w:t>][X11</w:t>
      </w:r>
      <w:r>
        <w:rPr>
          <w:rFonts w:hAnsi="宋体"/>
          <w:color w:val="auto"/>
          <w:spacing w:val="-20"/>
          <w:sz w:val="28"/>
          <w:szCs w:val="28"/>
        </w:rPr>
        <w:t>＇</w:t>
      </w:r>
      <w:r>
        <w:rPr>
          <w:color w:val="auto"/>
          <w:spacing w:val="-20"/>
          <w:sz w:val="28"/>
          <w:szCs w:val="28"/>
        </w:rPr>
        <w:t>+</w:t>
      </w:r>
      <w:r>
        <w:rPr>
          <w:rFonts w:hAnsi="宋体"/>
          <w:color w:val="auto"/>
          <w:spacing w:val="-20"/>
          <w:sz w:val="28"/>
          <w:szCs w:val="28"/>
        </w:rPr>
        <w:t>（</w:t>
      </w:r>
      <w:r>
        <w:rPr>
          <w:color w:val="auto"/>
          <w:spacing w:val="-20"/>
          <w:sz w:val="28"/>
          <w:szCs w:val="28"/>
        </w:rPr>
        <w:t>X12</w:t>
      </w:r>
      <w:r>
        <w:rPr>
          <w:rFonts w:hAnsi="宋体"/>
          <w:color w:val="auto"/>
          <w:spacing w:val="-20"/>
          <w:sz w:val="28"/>
          <w:szCs w:val="28"/>
        </w:rPr>
        <w:t>＇</w:t>
      </w:r>
      <w:r>
        <w:rPr>
          <w:color w:val="auto"/>
          <w:spacing w:val="-20"/>
          <w:sz w:val="28"/>
          <w:szCs w:val="28"/>
        </w:rPr>
        <w:t>X13</w:t>
      </w:r>
      <w:r>
        <w:rPr>
          <w:rFonts w:hAnsi="宋体"/>
          <w:color w:val="auto"/>
          <w:spacing w:val="-20"/>
          <w:sz w:val="28"/>
          <w:szCs w:val="28"/>
        </w:rPr>
        <w:t>＇</w:t>
      </w:r>
      <w:r>
        <w:rPr>
          <w:color w:val="auto"/>
          <w:spacing w:val="-20"/>
          <w:sz w:val="28"/>
          <w:szCs w:val="28"/>
        </w:rPr>
        <w:t>X14</w:t>
      </w:r>
      <w:r>
        <w:rPr>
          <w:rFonts w:hAnsi="宋体"/>
          <w:color w:val="auto"/>
          <w:spacing w:val="-20"/>
          <w:sz w:val="28"/>
          <w:szCs w:val="28"/>
        </w:rPr>
        <w:t>＇）</w:t>
      </w:r>
      <w:r>
        <w:rPr>
          <w:color w:val="auto"/>
          <w:spacing w:val="-20"/>
          <w:sz w:val="28"/>
          <w:szCs w:val="28"/>
        </w:rPr>
        <w:t>]X15</w:t>
      </w:r>
      <w:r>
        <w:rPr>
          <w:rFonts w:hAnsi="宋体"/>
          <w:color w:val="auto"/>
          <w:spacing w:val="-20"/>
          <w:sz w:val="28"/>
          <w:szCs w:val="28"/>
        </w:rPr>
        <w:t>＇</w:t>
      </w:r>
      <w:r>
        <w:rPr>
          <w:color w:val="auto"/>
          <w:spacing w:val="-20"/>
          <w:sz w:val="28"/>
          <w:szCs w:val="28"/>
        </w:rPr>
        <w:t>X16</w:t>
      </w:r>
      <w:r>
        <w:rPr>
          <w:rFonts w:hAnsi="宋体"/>
          <w:color w:val="auto"/>
          <w:spacing w:val="-20"/>
          <w:sz w:val="28"/>
          <w:szCs w:val="28"/>
        </w:rPr>
        <w:t>＇</w:t>
      </w:r>
      <w:r>
        <w:rPr>
          <w:color w:val="auto"/>
          <w:spacing w:val="-20"/>
          <w:sz w:val="28"/>
          <w:szCs w:val="28"/>
        </w:rPr>
        <w:t>+X17</w:t>
      </w:r>
      <w:r>
        <w:rPr>
          <w:rFonts w:hAnsi="宋体"/>
          <w:color w:val="auto"/>
          <w:spacing w:val="-20"/>
          <w:sz w:val="28"/>
          <w:szCs w:val="28"/>
        </w:rPr>
        <w:t>＇</w:t>
      </w:r>
      <w:r>
        <w:rPr>
          <w:color w:val="auto"/>
          <w:spacing w:val="-20"/>
          <w:sz w:val="28"/>
          <w:szCs w:val="28"/>
        </w:rPr>
        <w:t>X18</w:t>
      </w:r>
      <w:r>
        <w:rPr>
          <w:rFonts w:hAnsi="宋体"/>
          <w:color w:val="auto"/>
          <w:spacing w:val="-20"/>
          <w:sz w:val="28"/>
          <w:szCs w:val="28"/>
        </w:rPr>
        <w:t>＇</w:t>
      </w:r>
      <w:r>
        <w:rPr>
          <w:color w:val="auto"/>
          <w:spacing w:val="-20"/>
          <w:sz w:val="28"/>
          <w:szCs w:val="28"/>
        </w:rPr>
        <w:t>X19</w:t>
      </w:r>
      <w:r>
        <w:rPr>
          <w:rFonts w:hAnsi="宋体"/>
          <w:color w:val="auto"/>
          <w:spacing w:val="-20"/>
          <w:sz w:val="28"/>
          <w:szCs w:val="28"/>
        </w:rPr>
        <w:t>＇</w:t>
      </w:r>
      <w:r>
        <w:rPr>
          <w:color w:val="auto"/>
          <w:spacing w:val="-20"/>
          <w:sz w:val="28"/>
          <w:szCs w:val="28"/>
        </w:rPr>
        <w:t>X20</w:t>
      </w:r>
      <w:r>
        <w:rPr>
          <w:rFonts w:hAnsi="宋体"/>
          <w:color w:val="auto"/>
          <w:spacing w:val="-20"/>
          <w:sz w:val="28"/>
          <w:szCs w:val="28"/>
        </w:rPr>
        <w:t>＇</w:t>
      </w:r>
      <w:r>
        <w:rPr>
          <w:color w:val="auto"/>
          <w:spacing w:val="-20"/>
          <w:sz w:val="28"/>
          <w:szCs w:val="28"/>
        </w:rPr>
        <w:t>X21</w:t>
      </w:r>
      <w:r>
        <w:rPr>
          <w:rFonts w:hAnsi="宋体"/>
          <w:color w:val="auto"/>
          <w:spacing w:val="-20"/>
          <w:sz w:val="28"/>
          <w:szCs w:val="28"/>
        </w:rPr>
        <w:t>＇</w:t>
      </w:r>
      <w:r>
        <w:rPr>
          <w:color w:val="auto"/>
          <w:spacing w:val="-20"/>
          <w:sz w:val="28"/>
          <w:szCs w:val="28"/>
        </w:rPr>
        <w:t>X22</w:t>
      </w:r>
      <w:r>
        <w:rPr>
          <w:rFonts w:hAnsi="宋体"/>
          <w:color w:val="auto"/>
          <w:spacing w:val="-20"/>
          <w:sz w:val="28"/>
          <w:szCs w:val="28"/>
        </w:rPr>
        <w:t>＇</w:t>
      </w:r>
    </w:p>
    <w:p w14:paraId="5D4F36B0">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rFonts w:hAnsi="宋体"/>
          <w:color w:val="auto"/>
          <w:sz w:val="28"/>
          <w:szCs w:val="28"/>
        </w:rPr>
        <w:t>将上式展开可得出</w:t>
      </w:r>
      <w:r>
        <w:rPr>
          <w:color w:val="auto"/>
          <w:sz w:val="28"/>
          <w:szCs w:val="28"/>
        </w:rPr>
        <w:t>5</w:t>
      </w:r>
      <w:r>
        <w:rPr>
          <w:rFonts w:hAnsi="宋体"/>
          <w:color w:val="auto"/>
          <w:sz w:val="28"/>
          <w:szCs w:val="28"/>
        </w:rPr>
        <w:t>个最小径集，分别为：</w:t>
      </w:r>
    </w:p>
    <w:p w14:paraId="0FC426F0">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eastAsia="宋体"/>
          <w:color w:val="auto"/>
          <w:spacing w:val="-20"/>
          <w:sz w:val="28"/>
          <w:szCs w:val="28"/>
          <w:lang w:eastAsia="zh-CN"/>
        </w:rPr>
      </w:pPr>
      <w:r>
        <w:rPr>
          <w:color w:val="auto"/>
          <w:sz w:val="28"/>
          <w:szCs w:val="28"/>
        </w:rPr>
        <w:t>P1={</w:t>
      </w:r>
      <w:r>
        <w:rPr>
          <w:color w:val="auto"/>
          <w:spacing w:val="-20"/>
          <w:sz w:val="28"/>
          <w:szCs w:val="28"/>
        </w:rPr>
        <w:t>X23</w:t>
      </w:r>
      <w:r>
        <w:rPr>
          <w:rFonts w:hAnsi="宋体"/>
          <w:color w:val="auto"/>
          <w:spacing w:val="-20"/>
          <w:sz w:val="28"/>
          <w:szCs w:val="28"/>
        </w:rPr>
        <w:t>，</w:t>
      </w:r>
      <w:r>
        <w:rPr>
          <w:color w:val="auto"/>
          <w:spacing w:val="-20"/>
          <w:sz w:val="28"/>
          <w:szCs w:val="28"/>
        </w:rPr>
        <w:t>X11</w:t>
      </w:r>
      <w:r>
        <w:rPr>
          <w:rFonts w:hAnsi="宋体"/>
          <w:color w:val="auto"/>
          <w:spacing w:val="-20"/>
          <w:sz w:val="28"/>
          <w:szCs w:val="28"/>
        </w:rPr>
        <w:t>，</w:t>
      </w:r>
      <w:r>
        <w:rPr>
          <w:color w:val="auto"/>
          <w:spacing w:val="-20"/>
          <w:sz w:val="28"/>
          <w:szCs w:val="28"/>
        </w:rPr>
        <w:t>X15</w:t>
      </w:r>
      <w:r>
        <w:rPr>
          <w:rFonts w:hAnsi="宋体"/>
          <w:color w:val="auto"/>
          <w:spacing w:val="-20"/>
          <w:sz w:val="28"/>
          <w:szCs w:val="28"/>
        </w:rPr>
        <w:t>，</w:t>
      </w:r>
      <w:r>
        <w:rPr>
          <w:color w:val="auto"/>
          <w:spacing w:val="-20"/>
          <w:sz w:val="28"/>
          <w:szCs w:val="28"/>
        </w:rPr>
        <w:t>X16}</w:t>
      </w:r>
      <w:r>
        <w:rPr>
          <w:rFonts w:hAnsi="宋体"/>
          <w:color w:val="auto"/>
          <w:spacing w:val="-20"/>
          <w:sz w:val="28"/>
          <w:szCs w:val="28"/>
        </w:rPr>
        <w:t>；</w:t>
      </w:r>
    </w:p>
    <w:p w14:paraId="7ED7284A">
      <w:pPr>
        <w:keepNext w:val="0"/>
        <w:keepLines w:val="0"/>
        <w:pageBreakBefore w:val="0"/>
        <w:widowControl w:val="0"/>
        <w:kinsoku/>
        <w:wordWrap/>
        <w:overflowPunct/>
        <w:topLinePunct w:val="0"/>
        <w:autoSpaceDE/>
        <w:autoSpaceDN/>
        <w:bidi w:val="0"/>
        <w:adjustRightInd/>
        <w:snapToGrid w:val="0"/>
        <w:spacing w:line="600" w:lineRule="exact"/>
        <w:ind w:firstLine="480" w:firstLineChars="200"/>
        <w:textAlignment w:val="auto"/>
        <w:rPr>
          <w:color w:val="auto"/>
          <w:sz w:val="28"/>
          <w:szCs w:val="28"/>
        </w:rPr>
      </w:pPr>
      <w:r>
        <w:rPr>
          <w:color w:val="auto"/>
          <w:spacing w:val="-20"/>
          <w:sz w:val="28"/>
          <w:szCs w:val="28"/>
        </w:rPr>
        <w:t>P2={X23</w:t>
      </w:r>
      <w:r>
        <w:rPr>
          <w:rFonts w:hAnsi="宋体"/>
          <w:color w:val="auto"/>
          <w:spacing w:val="-20"/>
          <w:sz w:val="28"/>
          <w:szCs w:val="28"/>
        </w:rPr>
        <w:t>，</w:t>
      </w:r>
      <w:r>
        <w:rPr>
          <w:color w:val="auto"/>
          <w:spacing w:val="-20"/>
          <w:sz w:val="28"/>
          <w:szCs w:val="28"/>
        </w:rPr>
        <w:t>X12</w:t>
      </w:r>
      <w:r>
        <w:rPr>
          <w:rFonts w:hAnsi="宋体"/>
          <w:color w:val="auto"/>
          <w:spacing w:val="-20"/>
          <w:sz w:val="28"/>
          <w:szCs w:val="28"/>
        </w:rPr>
        <w:t>，</w:t>
      </w:r>
      <w:r>
        <w:rPr>
          <w:color w:val="auto"/>
          <w:spacing w:val="-20"/>
          <w:sz w:val="28"/>
          <w:szCs w:val="28"/>
        </w:rPr>
        <w:t>X13</w:t>
      </w:r>
      <w:r>
        <w:rPr>
          <w:rFonts w:hAnsi="宋体"/>
          <w:color w:val="auto"/>
          <w:spacing w:val="-20"/>
          <w:sz w:val="28"/>
          <w:szCs w:val="28"/>
        </w:rPr>
        <w:t>，</w:t>
      </w:r>
      <w:r>
        <w:rPr>
          <w:color w:val="auto"/>
          <w:spacing w:val="-20"/>
          <w:sz w:val="28"/>
          <w:szCs w:val="28"/>
        </w:rPr>
        <w:t>X14</w:t>
      </w:r>
      <w:r>
        <w:rPr>
          <w:rFonts w:hAnsi="宋体"/>
          <w:color w:val="auto"/>
          <w:spacing w:val="-20"/>
          <w:sz w:val="28"/>
          <w:szCs w:val="28"/>
        </w:rPr>
        <w:t>，</w:t>
      </w:r>
      <w:r>
        <w:rPr>
          <w:color w:val="auto"/>
          <w:spacing w:val="-20"/>
          <w:sz w:val="28"/>
          <w:szCs w:val="28"/>
        </w:rPr>
        <w:t>X15</w:t>
      </w:r>
      <w:r>
        <w:rPr>
          <w:rFonts w:hAnsi="宋体"/>
          <w:color w:val="auto"/>
          <w:spacing w:val="-20"/>
          <w:sz w:val="28"/>
          <w:szCs w:val="28"/>
        </w:rPr>
        <w:t>，</w:t>
      </w:r>
      <w:r>
        <w:rPr>
          <w:color w:val="auto"/>
          <w:spacing w:val="-20"/>
          <w:sz w:val="28"/>
          <w:szCs w:val="28"/>
        </w:rPr>
        <w:t>X16}</w:t>
      </w:r>
      <w:r>
        <w:rPr>
          <w:rFonts w:hAnsi="宋体"/>
          <w:color w:val="auto"/>
          <w:spacing w:val="-20"/>
          <w:sz w:val="28"/>
          <w:szCs w:val="28"/>
        </w:rPr>
        <w:t>；</w:t>
      </w:r>
    </w:p>
    <w:p w14:paraId="45F54253">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P3={X</w:t>
      </w:r>
      <w:r>
        <w:rPr>
          <w:color w:val="auto"/>
          <w:spacing w:val="-20"/>
          <w:sz w:val="28"/>
          <w:szCs w:val="28"/>
        </w:rPr>
        <w:t>1</w:t>
      </w:r>
      <w:r>
        <w:rPr>
          <w:rFonts w:hAnsi="宋体"/>
          <w:color w:val="auto"/>
          <w:spacing w:val="-20"/>
          <w:sz w:val="28"/>
          <w:szCs w:val="28"/>
        </w:rPr>
        <w:t>，</w:t>
      </w:r>
      <w:r>
        <w:rPr>
          <w:color w:val="auto"/>
          <w:spacing w:val="-20"/>
          <w:sz w:val="28"/>
          <w:szCs w:val="28"/>
        </w:rPr>
        <w:t>X2</w:t>
      </w:r>
      <w:r>
        <w:rPr>
          <w:rFonts w:hAnsi="宋体"/>
          <w:color w:val="auto"/>
          <w:spacing w:val="-20"/>
          <w:sz w:val="28"/>
          <w:szCs w:val="28"/>
        </w:rPr>
        <w:t>，</w:t>
      </w:r>
      <w:r>
        <w:rPr>
          <w:color w:val="auto"/>
          <w:spacing w:val="-20"/>
          <w:sz w:val="28"/>
          <w:szCs w:val="28"/>
        </w:rPr>
        <w:t>X3</w:t>
      </w:r>
      <w:r>
        <w:rPr>
          <w:rFonts w:hAnsi="宋体"/>
          <w:color w:val="auto"/>
          <w:spacing w:val="-20"/>
          <w:sz w:val="28"/>
          <w:szCs w:val="28"/>
        </w:rPr>
        <w:t>，</w:t>
      </w:r>
      <w:r>
        <w:rPr>
          <w:color w:val="auto"/>
          <w:spacing w:val="-20"/>
          <w:sz w:val="28"/>
          <w:szCs w:val="28"/>
        </w:rPr>
        <w:t>X4</w:t>
      </w:r>
      <w:r>
        <w:rPr>
          <w:rFonts w:hAnsi="宋体"/>
          <w:color w:val="auto"/>
          <w:spacing w:val="-20"/>
          <w:sz w:val="28"/>
          <w:szCs w:val="28"/>
        </w:rPr>
        <w:t>，</w:t>
      </w:r>
      <w:r>
        <w:rPr>
          <w:color w:val="auto"/>
          <w:spacing w:val="-20"/>
          <w:sz w:val="28"/>
          <w:szCs w:val="28"/>
        </w:rPr>
        <w:t>X5</w:t>
      </w:r>
      <w:r>
        <w:rPr>
          <w:rFonts w:hAnsi="宋体"/>
          <w:color w:val="auto"/>
          <w:spacing w:val="-20"/>
          <w:sz w:val="28"/>
          <w:szCs w:val="28"/>
        </w:rPr>
        <w:t>，</w:t>
      </w:r>
      <w:r>
        <w:rPr>
          <w:color w:val="auto"/>
          <w:spacing w:val="-20"/>
          <w:sz w:val="28"/>
          <w:szCs w:val="28"/>
        </w:rPr>
        <w:t>X6</w:t>
      </w:r>
      <w:r>
        <w:rPr>
          <w:rFonts w:hAnsi="宋体"/>
          <w:color w:val="auto"/>
          <w:spacing w:val="-20"/>
          <w:sz w:val="28"/>
          <w:szCs w:val="28"/>
        </w:rPr>
        <w:t>，</w:t>
      </w:r>
      <w:r>
        <w:rPr>
          <w:color w:val="auto"/>
          <w:spacing w:val="-20"/>
          <w:sz w:val="28"/>
          <w:szCs w:val="28"/>
        </w:rPr>
        <w:t>X7</w:t>
      </w:r>
      <w:r>
        <w:rPr>
          <w:rFonts w:hAnsi="宋体"/>
          <w:color w:val="auto"/>
          <w:spacing w:val="-20"/>
          <w:sz w:val="28"/>
          <w:szCs w:val="28"/>
        </w:rPr>
        <w:t>，</w:t>
      </w:r>
      <w:r>
        <w:rPr>
          <w:color w:val="auto"/>
          <w:spacing w:val="-20"/>
          <w:sz w:val="28"/>
          <w:szCs w:val="28"/>
        </w:rPr>
        <w:t>X8</w:t>
      </w:r>
      <w:r>
        <w:rPr>
          <w:rFonts w:hAnsi="宋体"/>
          <w:color w:val="auto"/>
          <w:spacing w:val="-20"/>
          <w:sz w:val="28"/>
          <w:szCs w:val="28"/>
        </w:rPr>
        <w:t>，</w:t>
      </w:r>
      <w:r>
        <w:rPr>
          <w:color w:val="auto"/>
          <w:spacing w:val="-20"/>
          <w:sz w:val="28"/>
          <w:szCs w:val="28"/>
        </w:rPr>
        <w:t>X9</w:t>
      </w:r>
      <w:r>
        <w:rPr>
          <w:rFonts w:hAnsi="宋体"/>
          <w:color w:val="auto"/>
          <w:spacing w:val="-20"/>
          <w:sz w:val="28"/>
          <w:szCs w:val="28"/>
        </w:rPr>
        <w:t>，</w:t>
      </w:r>
      <w:r>
        <w:rPr>
          <w:color w:val="auto"/>
          <w:spacing w:val="-20"/>
          <w:sz w:val="28"/>
          <w:szCs w:val="28"/>
        </w:rPr>
        <w:t>X10</w:t>
      </w:r>
      <w:r>
        <w:rPr>
          <w:rFonts w:hAnsi="宋体"/>
          <w:color w:val="auto"/>
          <w:spacing w:val="-20"/>
          <w:sz w:val="28"/>
          <w:szCs w:val="28"/>
        </w:rPr>
        <w:t>，</w:t>
      </w:r>
      <w:r>
        <w:rPr>
          <w:color w:val="auto"/>
          <w:spacing w:val="-20"/>
          <w:sz w:val="28"/>
          <w:szCs w:val="28"/>
        </w:rPr>
        <w:t>X11</w:t>
      </w:r>
      <w:r>
        <w:rPr>
          <w:rFonts w:hAnsi="宋体"/>
          <w:color w:val="auto"/>
          <w:spacing w:val="-20"/>
          <w:sz w:val="28"/>
          <w:szCs w:val="28"/>
        </w:rPr>
        <w:t>，</w:t>
      </w:r>
      <w:r>
        <w:rPr>
          <w:color w:val="auto"/>
          <w:spacing w:val="-20"/>
          <w:sz w:val="28"/>
          <w:szCs w:val="28"/>
        </w:rPr>
        <w:t>X15</w:t>
      </w:r>
      <w:r>
        <w:rPr>
          <w:rFonts w:hAnsi="宋体"/>
          <w:color w:val="auto"/>
          <w:spacing w:val="-20"/>
          <w:sz w:val="28"/>
          <w:szCs w:val="28"/>
        </w:rPr>
        <w:t>，</w:t>
      </w:r>
      <w:r>
        <w:rPr>
          <w:color w:val="auto"/>
          <w:spacing w:val="-20"/>
          <w:sz w:val="28"/>
          <w:szCs w:val="28"/>
        </w:rPr>
        <w:t>X16}</w:t>
      </w:r>
      <w:r>
        <w:rPr>
          <w:rFonts w:hAnsi="宋体"/>
          <w:color w:val="auto"/>
          <w:spacing w:val="-20"/>
          <w:sz w:val="28"/>
          <w:szCs w:val="28"/>
        </w:rPr>
        <w:t>；</w:t>
      </w:r>
    </w:p>
    <w:p w14:paraId="6DCF509A">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P4={</w:t>
      </w:r>
      <w:r>
        <w:rPr>
          <w:color w:val="auto"/>
          <w:spacing w:val="-40"/>
          <w:sz w:val="28"/>
          <w:szCs w:val="28"/>
        </w:rPr>
        <w:t>X1</w:t>
      </w:r>
      <w:r>
        <w:rPr>
          <w:rFonts w:hAnsi="宋体"/>
          <w:color w:val="auto"/>
          <w:spacing w:val="-40"/>
          <w:sz w:val="28"/>
          <w:szCs w:val="28"/>
        </w:rPr>
        <w:t>，</w:t>
      </w:r>
      <w:r>
        <w:rPr>
          <w:color w:val="auto"/>
          <w:spacing w:val="-40"/>
          <w:sz w:val="28"/>
          <w:szCs w:val="28"/>
        </w:rPr>
        <w:t>X2</w:t>
      </w:r>
      <w:r>
        <w:rPr>
          <w:rFonts w:hAnsi="宋体"/>
          <w:color w:val="auto"/>
          <w:spacing w:val="-40"/>
          <w:sz w:val="28"/>
          <w:szCs w:val="28"/>
        </w:rPr>
        <w:t>，</w:t>
      </w:r>
      <w:r>
        <w:rPr>
          <w:color w:val="auto"/>
          <w:spacing w:val="-40"/>
          <w:sz w:val="28"/>
          <w:szCs w:val="28"/>
        </w:rPr>
        <w:t>X3</w:t>
      </w:r>
      <w:r>
        <w:rPr>
          <w:rFonts w:hAnsi="宋体"/>
          <w:color w:val="auto"/>
          <w:spacing w:val="-40"/>
          <w:sz w:val="28"/>
          <w:szCs w:val="28"/>
        </w:rPr>
        <w:t>，</w:t>
      </w:r>
      <w:r>
        <w:rPr>
          <w:color w:val="auto"/>
          <w:spacing w:val="-40"/>
          <w:sz w:val="28"/>
          <w:szCs w:val="28"/>
        </w:rPr>
        <w:t>X4</w:t>
      </w:r>
      <w:r>
        <w:rPr>
          <w:rFonts w:hAnsi="宋体"/>
          <w:color w:val="auto"/>
          <w:spacing w:val="-40"/>
          <w:sz w:val="28"/>
          <w:szCs w:val="28"/>
        </w:rPr>
        <w:t>，</w:t>
      </w:r>
      <w:r>
        <w:rPr>
          <w:color w:val="auto"/>
          <w:spacing w:val="-40"/>
          <w:sz w:val="28"/>
          <w:szCs w:val="28"/>
        </w:rPr>
        <w:t>X5</w:t>
      </w:r>
      <w:r>
        <w:rPr>
          <w:rFonts w:hAnsi="宋体"/>
          <w:color w:val="auto"/>
          <w:spacing w:val="-40"/>
          <w:sz w:val="28"/>
          <w:szCs w:val="28"/>
        </w:rPr>
        <w:t>，</w:t>
      </w:r>
      <w:r>
        <w:rPr>
          <w:color w:val="auto"/>
          <w:spacing w:val="-40"/>
          <w:sz w:val="28"/>
          <w:szCs w:val="28"/>
        </w:rPr>
        <w:t>X6</w:t>
      </w:r>
      <w:r>
        <w:rPr>
          <w:rFonts w:hAnsi="宋体"/>
          <w:color w:val="auto"/>
          <w:spacing w:val="-40"/>
          <w:sz w:val="28"/>
          <w:szCs w:val="28"/>
        </w:rPr>
        <w:t>，</w:t>
      </w:r>
      <w:r>
        <w:rPr>
          <w:color w:val="auto"/>
          <w:spacing w:val="-40"/>
          <w:sz w:val="28"/>
          <w:szCs w:val="28"/>
        </w:rPr>
        <w:t>X7</w:t>
      </w:r>
      <w:r>
        <w:rPr>
          <w:rFonts w:hAnsi="宋体"/>
          <w:color w:val="auto"/>
          <w:spacing w:val="-40"/>
          <w:sz w:val="28"/>
          <w:szCs w:val="28"/>
        </w:rPr>
        <w:t>，</w:t>
      </w:r>
      <w:r>
        <w:rPr>
          <w:color w:val="auto"/>
          <w:spacing w:val="-40"/>
          <w:sz w:val="28"/>
          <w:szCs w:val="28"/>
        </w:rPr>
        <w:t>X8</w:t>
      </w:r>
      <w:r>
        <w:rPr>
          <w:rFonts w:hAnsi="宋体"/>
          <w:color w:val="auto"/>
          <w:spacing w:val="-40"/>
          <w:sz w:val="28"/>
          <w:szCs w:val="28"/>
        </w:rPr>
        <w:t>，</w:t>
      </w:r>
      <w:r>
        <w:rPr>
          <w:color w:val="auto"/>
          <w:spacing w:val="-40"/>
          <w:sz w:val="28"/>
          <w:szCs w:val="28"/>
        </w:rPr>
        <w:t>X9</w:t>
      </w:r>
      <w:r>
        <w:rPr>
          <w:rFonts w:hAnsi="宋体"/>
          <w:color w:val="auto"/>
          <w:spacing w:val="-40"/>
          <w:sz w:val="28"/>
          <w:szCs w:val="28"/>
        </w:rPr>
        <w:t>，</w:t>
      </w:r>
      <w:r>
        <w:rPr>
          <w:color w:val="auto"/>
          <w:spacing w:val="-40"/>
          <w:sz w:val="28"/>
          <w:szCs w:val="28"/>
        </w:rPr>
        <w:t>X10</w:t>
      </w:r>
      <w:r>
        <w:rPr>
          <w:rFonts w:hAnsi="宋体"/>
          <w:color w:val="auto"/>
          <w:spacing w:val="-40"/>
          <w:sz w:val="28"/>
          <w:szCs w:val="28"/>
        </w:rPr>
        <w:t>，</w:t>
      </w:r>
      <w:r>
        <w:rPr>
          <w:color w:val="auto"/>
          <w:spacing w:val="-40"/>
          <w:sz w:val="28"/>
          <w:szCs w:val="28"/>
        </w:rPr>
        <w:t>X12</w:t>
      </w:r>
      <w:r>
        <w:rPr>
          <w:rFonts w:hAnsi="宋体"/>
          <w:color w:val="auto"/>
          <w:spacing w:val="-40"/>
          <w:sz w:val="28"/>
          <w:szCs w:val="28"/>
        </w:rPr>
        <w:t>，</w:t>
      </w:r>
      <w:r>
        <w:rPr>
          <w:color w:val="auto"/>
          <w:spacing w:val="-40"/>
          <w:sz w:val="28"/>
          <w:szCs w:val="28"/>
        </w:rPr>
        <w:t>X13</w:t>
      </w:r>
      <w:r>
        <w:rPr>
          <w:rFonts w:hAnsi="宋体"/>
          <w:color w:val="auto"/>
          <w:spacing w:val="-40"/>
          <w:sz w:val="28"/>
          <w:szCs w:val="28"/>
        </w:rPr>
        <w:t>，</w:t>
      </w:r>
      <w:r>
        <w:rPr>
          <w:color w:val="auto"/>
          <w:spacing w:val="-40"/>
          <w:sz w:val="28"/>
          <w:szCs w:val="28"/>
        </w:rPr>
        <w:t>X14</w:t>
      </w:r>
      <w:r>
        <w:rPr>
          <w:rFonts w:hAnsi="宋体"/>
          <w:color w:val="auto"/>
          <w:spacing w:val="-40"/>
          <w:sz w:val="28"/>
          <w:szCs w:val="28"/>
        </w:rPr>
        <w:t>，</w:t>
      </w:r>
      <w:r>
        <w:rPr>
          <w:color w:val="auto"/>
          <w:spacing w:val="-40"/>
          <w:sz w:val="28"/>
          <w:szCs w:val="28"/>
        </w:rPr>
        <w:t>X15</w:t>
      </w:r>
      <w:r>
        <w:rPr>
          <w:rFonts w:hAnsi="宋体"/>
          <w:color w:val="auto"/>
          <w:spacing w:val="-40"/>
          <w:sz w:val="28"/>
          <w:szCs w:val="28"/>
        </w:rPr>
        <w:t>，</w:t>
      </w:r>
      <w:r>
        <w:rPr>
          <w:color w:val="auto"/>
          <w:spacing w:val="-40"/>
          <w:sz w:val="28"/>
          <w:szCs w:val="28"/>
        </w:rPr>
        <w:t>X16}</w:t>
      </w:r>
      <w:r>
        <w:rPr>
          <w:rFonts w:hAnsi="宋体"/>
          <w:color w:val="auto"/>
          <w:spacing w:val="-40"/>
          <w:sz w:val="28"/>
          <w:szCs w:val="28"/>
        </w:rPr>
        <w:t>；</w:t>
      </w:r>
    </w:p>
    <w:p w14:paraId="7B98F304">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P5={X17</w:t>
      </w:r>
      <w:r>
        <w:rPr>
          <w:rFonts w:hAnsi="宋体"/>
          <w:color w:val="auto"/>
          <w:sz w:val="28"/>
          <w:szCs w:val="28"/>
        </w:rPr>
        <w:t>，</w:t>
      </w:r>
      <w:r>
        <w:rPr>
          <w:color w:val="auto"/>
          <w:sz w:val="28"/>
          <w:szCs w:val="28"/>
        </w:rPr>
        <w:t>X18</w:t>
      </w:r>
      <w:r>
        <w:rPr>
          <w:rFonts w:hAnsi="宋体"/>
          <w:color w:val="auto"/>
          <w:sz w:val="28"/>
          <w:szCs w:val="28"/>
        </w:rPr>
        <w:t>，</w:t>
      </w:r>
      <w:r>
        <w:rPr>
          <w:color w:val="auto"/>
          <w:sz w:val="28"/>
          <w:szCs w:val="28"/>
        </w:rPr>
        <w:t>X19</w:t>
      </w:r>
      <w:r>
        <w:rPr>
          <w:rFonts w:hAnsi="宋体"/>
          <w:color w:val="auto"/>
          <w:sz w:val="28"/>
          <w:szCs w:val="28"/>
        </w:rPr>
        <w:t>，</w:t>
      </w:r>
      <w:r>
        <w:rPr>
          <w:color w:val="auto"/>
          <w:sz w:val="28"/>
          <w:szCs w:val="28"/>
        </w:rPr>
        <w:t>X20</w:t>
      </w:r>
      <w:r>
        <w:rPr>
          <w:rFonts w:hAnsi="宋体"/>
          <w:color w:val="auto"/>
          <w:sz w:val="28"/>
          <w:szCs w:val="28"/>
        </w:rPr>
        <w:t>，</w:t>
      </w:r>
      <w:r>
        <w:rPr>
          <w:color w:val="auto"/>
          <w:sz w:val="28"/>
          <w:szCs w:val="28"/>
        </w:rPr>
        <w:t>X21</w:t>
      </w:r>
      <w:r>
        <w:rPr>
          <w:rFonts w:hAnsi="宋体"/>
          <w:color w:val="auto"/>
          <w:sz w:val="28"/>
          <w:szCs w:val="28"/>
        </w:rPr>
        <w:t>，</w:t>
      </w:r>
      <w:r>
        <w:rPr>
          <w:color w:val="auto"/>
          <w:sz w:val="28"/>
          <w:szCs w:val="28"/>
        </w:rPr>
        <w:t>X22}</w:t>
      </w:r>
      <w:r>
        <w:rPr>
          <w:rFonts w:hAnsi="宋体"/>
          <w:color w:val="auto"/>
          <w:sz w:val="28"/>
          <w:szCs w:val="28"/>
        </w:rPr>
        <w:t>；</w:t>
      </w:r>
    </w:p>
    <w:p w14:paraId="565320A6">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color w:val="auto"/>
          <w:sz w:val="28"/>
          <w:szCs w:val="28"/>
        </w:rPr>
        <w:t>d.</w:t>
      </w:r>
      <w:r>
        <w:rPr>
          <w:rFonts w:hAnsi="宋体"/>
          <w:color w:val="auto"/>
          <w:sz w:val="28"/>
          <w:szCs w:val="28"/>
        </w:rPr>
        <w:t>结构重要度分析</w:t>
      </w:r>
    </w:p>
    <w:p w14:paraId="3EB32B96">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color w:val="auto"/>
          <w:sz w:val="28"/>
          <w:szCs w:val="28"/>
        </w:rPr>
      </w:pPr>
      <w:r>
        <w:rPr>
          <w:rFonts w:hAnsi="宋体"/>
          <w:color w:val="auto"/>
          <w:sz w:val="28"/>
          <w:szCs w:val="28"/>
        </w:rPr>
        <w:t>根据最小径集和结构重要度近似判断法，得出各基本事件的结构重要度排列顺序如下：</w:t>
      </w:r>
    </w:p>
    <w:p w14:paraId="72514741">
      <w:pPr>
        <w:keepNext w:val="0"/>
        <w:keepLines w:val="0"/>
        <w:pageBreakBefore w:val="0"/>
        <w:widowControl w:val="0"/>
        <w:kinsoku/>
        <w:wordWrap/>
        <w:overflowPunct/>
        <w:topLinePunct w:val="0"/>
        <w:autoSpaceDE/>
        <w:autoSpaceDN/>
        <w:bidi w:val="0"/>
        <w:adjustRightInd/>
        <w:snapToGrid w:val="0"/>
        <w:spacing w:line="600" w:lineRule="exact"/>
        <w:ind w:firstLine="480" w:firstLineChars="200"/>
        <w:textAlignment w:val="auto"/>
        <w:rPr>
          <w:color w:val="auto"/>
          <w:spacing w:val="-20"/>
          <w:sz w:val="28"/>
          <w:szCs w:val="28"/>
        </w:rPr>
      </w:pPr>
      <w:r>
        <w:rPr>
          <w:color w:val="auto"/>
          <w:spacing w:val="-20"/>
          <w:sz w:val="28"/>
          <w:szCs w:val="28"/>
        </w:rPr>
        <w:t>I(15)=I(16)</w:t>
      </w:r>
      <w:r>
        <w:rPr>
          <w:rFonts w:hAnsi="宋体"/>
          <w:color w:val="auto"/>
          <w:spacing w:val="-20"/>
          <w:sz w:val="28"/>
          <w:szCs w:val="28"/>
        </w:rPr>
        <w:t>＞</w:t>
      </w:r>
      <w:r>
        <w:rPr>
          <w:color w:val="auto"/>
          <w:spacing w:val="-20"/>
          <w:sz w:val="28"/>
          <w:szCs w:val="28"/>
        </w:rPr>
        <w:t>I(23)</w:t>
      </w:r>
      <w:r>
        <w:rPr>
          <w:rFonts w:hAnsi="宋体"/>
          <w:color w:val="auto"/>
          <w:spacing w:val="-20"/>
          <w:sz w:val="28"/>
          <w:szCs w:val="28"/>
        </w:rPr>
        <w:t>＞</w:t>
      </w:r>
      <w:r>
        <w:rPr>
          <w:color w:val="auto"/>
          <w:spacing w:val="-20"/>
          <w:sz w:val="28"/>
          <w:szCs w:val="28"/>
        </w:rPr>
        <w:t>I(11)</w:t>
      </w:r>
      <w:r>
        <w:rPr>
          <w:rFonts w:hAnsi="宋体"/>
          <w:color w:val="auto"/>
          <w:spacing w:val="-20"/>
          <w:sz w:val="28"/>
          <w:szCs w:val="28"/>
        </w:rPr>
        <w:t>＞</w:t>
      </w:r>
      <w:r>
        <w:rPr>
          <w:color w:val="auto"/>
          <w:spacing w:val="-20"/>
          <w:sz w:val="28"/>
          <w:szCs w:val="28"/>
        </w:rPr>
        <w:t>I(12)=I(13)=I(14)</w:t>
      </w:r>
      <w:r>
        <w:rPr>
          <w:rFonts w:hAnsi="宋体"/>
          <w:color w:val="auto"/>
          <w:spacing w:val="-20"/>
          <w:sz w:val="28"/>
          <w:szCs w:val="28"/>
        </w:rPr>
        <w:t>＞</w:t>
      </w:r>
      <w:r>
        <w:rPr>
          <w:color w:val="auto"/>
          <w:spacing w:val="-20"/>
          <w:sz w:val="28"/>
          <w:szCs w:val="28"/>
        </w:rPr>
        <w:t>I(17)=I(18)=I(19)=I(20)=I(21)=I(22)</w:t>
      </w:r>
      <w:r>
        <w:rPr>
          <w:rFonts w:hAnsi="宋体"/>
          <w:color w:val="auto"/>
          <w:spacing w:val="-20"/>
          <w:sz w:val="28"/>
          <w:szCs w:val="28"/>
        </w:rPr>
        <w:t>＞</w:t>
      </w:r>
      <w:r>
        <w:rPr>
          <w:color w:val="auto"/>
          <w:spacing w:val="-20"/>
          <w:sz w:val="28"/>
          <w:szCs w:val="28"/>
        </w:rPr>
        <w:t>I(1)=I(2)=I(3)=I(4)=I(5)=I(6)=I(7)=I(8)=I(9)=I(10)</w:t>
      </w:r>
    </w:p>
    <w:p w14:paraId="7A7B3E94">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Ansi="宋体"/>
          <w:color w:val="auto"/>
          <w:sz w:val="28"/>
          <w:szCs w:val="28"/>
        </w:rPr>
      </w:pPr>
      <w:r>
        <w:rPr>
          <w:rFonts w:hAnsi="宋体"/>
          <w:color w:val="auto"/>
          <w:sz w:val="28"/>
          <w:szCs w:val="28"/>
        </w:rPr>
        <w:t>从结构重要度排列顺序可以看出，外来火源的结构重要度最大，对电气设施的危害性最大，保护装置失效和雷电危害的结构重要度次之，这三个基本事件是造成电气火灾的重要因素；其次，避雷保护失效、报警器失效、灭火设施失效的结构重要度居中；虽然接触不良、电器质量差、电缆破损、污秽闪络、超负荷运行、过电流、过电压等基本事件的结构重要度最小，但这些基本事件是电气火灾事故的诱发因素，在实际工作中应引起足够重视。</w:t>
      </w:r>
    </w:p>
    <w:p w14:paraId="0CCCEA7B">
      <w:pPr>
        <w:keepNext w:val="0"/>
        <w:keepLines w:val="0"/>
        <w:pageBreakBefore w:val="0"/>
        <w:widowControl w:val="0"/>
        <w:kinsoku/>
        <w:wordWrap/>
        <w:overflowPunct/>
        <w:topLinePunct w:val="0"/>
        <w:autoSpaceDE/>
        <w:autoSpaceDN/>
        <w:bidi w:val="0"/>
        <w:adjustRightInd/>
        <w:spacing w:line="600" w:lineRule="exact"/>
        <w:textAlignment w:val="auto"/>
        <w:outlineLvl w:val="2"/>
        <w:rPr>
          <w:rFonts w:hint="eastAsia" w:ascii="宋体" w:hAnsi="宋体" w:eastAsia="宋体" w:cs="宋体"/>
          <w:b/>
          <w:bCs/>
          <w:snapToGrid w:val="0"/>
          <w:color w:val="auto"/>
          <w:kern w:val="0"/>
          <w:sz w:val="28"/>
          <w:szCs w:val="28"/>
        </w:rPr>
      </w:pPr>
      <w:bookmarkStart w:id="221" w:name="_Toc23347"/>
      <w:bookmarkStart w:id="222" w:name="_Toc10298"/>
      <w:r>
        <w:rPr>
          <w:rFonts w:hint="eastAsia" w:ascii="宋体" w:hAnsi="宋体" w:eastAsia="宋体" w:cs="宋体"/>
          <w:b/>
          <w:bCs/>
          <w:sz w:val="28"/>
          <w:szCs w:val="28"/>
          <w:lang w:val="en-US" w:eastAsia="zh-CN"/>
        </w:rPr>
        <w:t>5.4.</w:t>
      </w:r>
      <w:r>
        <w:rPr>
          <w:rFonts w:hint="eastAsia" w:hAnsi="宋体" w:cs="宋体"/>
          <w:b/>
          <w:bCs/>
          <w:sz w:val="28"/>
          <w:szCs w:val="28"/>
          <w:lang w:val="en-US" w:eastAsia="zh-CN"/>
        </w:rPr>
        <w:t>6</w:t>
      </w:r>
      <w:r>
        <w:rPr>
          <w:rFonts w:hint="eastAsia" w:ascii="宋体" w:hAnsi="宋体" w:eastAsia="宋体" w:cs="宋体"/>
          <w:b/>
          <w:bCs/>
          <w:snapToGrid w:val="0"/>
          <w:color w:val="auto"/>
          <w:kern w:val="0"/>
          <w:sz w:val="28"/>
          <w:szCs w:val="28"/>
        </w:rPr>
        <w:t>评价小结</w:t>
      </w:r>
      <w:bookmarkEnd w:id="221"/>
      <w:bookmarkEnd w:id="222"/>
    </w:p>
    <w:p w14:paraId="68607A09">
      <w:pPr>
        <w:keepNext w:val="0"/>
        <w:keepLines w:val="0"/>
        <w:pageBreakBefore w:val="0"/>
        <w:widowControl w:val="0"/>
        <w:kinsoku/>
        <w:wordWrap/>
        <w:overflowPunct/>
        <w:topLinePunct w:val="0"/>
        <w:autoSpaceDE/>
        <w:autoSpaceDN/>
        <w:bidi w:val="0"/>
        <w:adjustRightInd/>
        <w:snapToGrid w:val="0"/>
        <w:spacing w:line="600" w:lineRule="exact"/>
        <w:ind w:firstLine="560" w:firstLineChars="200"/>
        <w:textAlignment w:val="auto"/>
        <w:rPr>
          <w:rFonts w:hint="eastAsia" w:hAnsi="宋体" w:cs="宋体"/>
          <w:color w:val="auto"/>
          <w:sz w:val="28"/>
          <w:szCs w:val="28"/>
        </w:rPr>
      </w:pPr>
      <w:r>
        <w:rPr>
          <w:rFonts w:hint="eastAsia" w:hAnsi="宋体" w:cs="宋体"/>
          <w:color w:val="auto"/>
          <w:sz w:val="28"/>
          <w:szCs w:val="28"/>
        </w:rPr>
        <w:t>根据《中华人民共和国消防法》、《工业企业总平面设计规范》、《供配电系统设计规范》、《用电安全导则》、《建筑灭火器配置设计规范》等标准规范编制检查表对本项目供配电、给排水、消防设施进行检查可知，本项目供配电、给排水、消防设施符合国家相关规范要求。</w:t>
      </w:r>
    </w:p>
    <w:p w14:paraId="7D0EB06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Ansi="宋体"/>
          <w:color w:val="auto"/>
          <w:sz w:val="28"/>
          <w:szCs w:val="28"/>
        </w:rPr>
      </w:pPr>
      <w:r>
        <w:rPr>
          <w:rFonts w:hint="eastAsia"/>
          <w:color w:val="auto"/>
          <w:sz w:val="28"/>
          <w:szCs w:val="28"/>
        </w:rPr>
        <w:t>采用事故树法，对该企业的变、配电系统进行分析评价，该企业的</w:t>
      </w:r>
      <w:r>
        <w:rPr>
          <w:rFonts w:hAnsi="宋体"/>
          <w:color w:val="auto"/>
          <w:sz w:val="28"/>
          <w:szCs w:val="28"/>
        </w:rPr>
        <w:t>外来火源的结构重要度最大，对电气设施的危害性最大，保护装置失效和雷电危害的结构重要度次之，这三个基本事件是造成电气火灾的重要因素。</w:t>
      </w:r>
    </w:p>
    <w:p w14:paraId="134062A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223" w:name="_Toc6249"/>
      <w:bookmarkStart w:id="224" w:name="_Toc30106"/>
      <w:r>
        <w:rPr>
          <w:rFonts w:hint="eastAsia" w:ascii="宋体" w:hAnsi="宋体" w:eastAsia="宋体" w:cs="宋体"/>
          <w:b/>
          <w:bCs/>
          <w:color w:val="000000"/>
          <w:kern w:val="0"/>
          <w:sz w:val="30"/>
          <w:szCs w:val="30"/>
          <w:lang w:val="en-US" w:eastAsia="zh-CN" w:bidi="ar"/>
        </w:rPr>
        <w:t>5.5 安全管理单元</w:t>
      </w:r>
      <w:bookmarkEnd w:id="223"/>
      <w:bookmarkEnd w:id="224"/>
    </w:p>
    <w:p w14:paraId="300EBCF7">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225" w:name="_Toc15088"/>
      <w:bookmarkStart w:id="226" w:name="_Toc8854"/>
      <w:r>
        <w:rPr>
          <w:rFonts w:hint="eastAsia" w:ascii="宋体" w:hAnsi="宋体" w:eastAsia="宋体" w:cs="宋体"/>
          <w:b/>
          <w:bCs/>
          <w:color w:val="000000"/>
          <w:kern w:val="0"/>
          <w:sz w:val="28"/>
          <w:szCs w:val="28"/>
          <w:lang w:val="en-US" w:eastAsia="zh-CN" w:bidi="ar"/>
        </w:rPr>
        <w:t>5.5.1 安全管理安全检查表</w:t>
      </w:r>
      <w:bookmarkEnd w:id="225"/>
      <w:bookmarkEnd w:id="226"/>
    </w:p>
    <w:p w14:paraId="68C63FE9">
      <w:pPr>
        <w:keepNext w:val="0"/>
        <w:keepLines w:val="0"/>
        <w:pageBreakBefore w:val="0"/>
        <w:widowControl/>
        <w:suppressLineNumbers w:val="0"/>
        <w:kinsoku/>
        <w:wordWrap/>
        <w:overflowPunct/>
        <w:topLinePunct w:val="0"/>
        <w:autoSpaceDE/>
        <w:autoSpaceDN/>
        <w:bidi w:val="0"/>
        <w:adjustRightIn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用安全检查表法（SCA）对该单元进行分析评价，如表 5-1</w:t>
      </w:r>
      <w:r>
        <w:rPr>
          <w:rFonts w:hint="eastAsia" w:hAnsi="宋体" w:cs="宋体"/>
          <w:color w:val="000000"/>
          <w:kern w:val="0"/>
          <w:sz w:val="28"/>
          <w:szCs w:val="28"/>
          <w:lang w:val="en-US" w:eastAsia="zh-CN" w:bidi="ar"/>
        </w:rPr>
        <w:t>3</w:t>
      </w:r>
      <w:r>
        <w:rPr>
          <w:rFonts w:hint="eastAsia" w:ascii="宋体" w:hAnsi="宋体" w:eastAsia="宋体" w:cs="宋体"/>
          <w:color w:val="000000"/>
          <w:kern w:val="0"/>
          <w:sz w:val="28"/>
          <w:szCs w:val="28"/>
          <w:lang w:val="en-US" w:eastAsia="zh-CN" w:bidi="ar"/>
        </w:rPr>
        <w:t xml:space="preserve"> 所示。</w:t>
      </w:r>
    </w:p>
    <w:p w14:paraId="4813AE9E">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ascii="宋体" w:hAnsi="宋体" w:eastAsia="宋体" w:cs="宋体"/>
          <w:b/>
          <w:bCs/>
          <w:color w:val="000000"/>
          <w:kern w:val="0"/>
          <w:sz w:val="24"/>
          <w:szCs w:val="24"/>
          <w:lang w:val="en-US" w:eastAsia="zh-CN" w:bidi="ar"/>
        </w:rPr>
        <w:t>表 5-1</w:t>
      </w:r>
      <w:r>
        <w:rPr>
          <w:rFonts w:hint="eastAsia" w:hAnsi="宋体" w:cs="宋体"/>
          <w:b/>
          <w:bCs/>
          <w:color w:val="000000"/>
          <w:kern w:val="0"/>
          <w:sz w:val="24"/>
          <w:szCs w:val="24"/>
          <w:lang w:val="en-US" w:eastAsia="zh-CN" w:bidi="ar"/>
        </w:rPr>
        <w:t>3</w:t>
      </w:r>
      <w:r>
        <w:rPr>
          <w:rFonts w:hint="eastAsia" w:ascii="宋体" w:hAnsi="宋体" w:eastAsia="宋体" w:cs="宋体"/>
          <w:b/>
          <w:bCs/>
          <w:color w:val="000000"/>
          <w:kern w:val="0"/>
          <w:sz w:val="24"/>
          <w:szCs w:val="24"/>
          <w:lang w:val="en-US" w:eastAsia="zh-CN" w:bidi="ar"/>
        </w:rPr>
        <w:t xml:space="preserve"> 安全管理单元安全检查表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2789"/>
        <w:gridCol w:w="2376"/>
        <w:gridCol w:w="2575"/>
        <w:gridCol w:w="907"/>
      </w:tblGrid>
      <w:tr w14:paraId="3A9D5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2A46D54">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2789" w:type="dxa"/>
            <w:vAlign w:val="center"/>
          </w:tcPr>
          <w:p w14:paraId="70608AAF">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检查内容</w:t>
            </w:r>
          </w:p>
        </w:tc>
        <w:tc>
          <w:tcPr>
            <w:tcW w:w="2376" w:type="dxa"/>
            <w:vAlign w:val="center"/>
          </w:tcPr>
          <w:p w14:paraId="7EC34B77">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2575" w:type="dxa"/>
            <w:vAlign w:val="center"/>
          </w:tcPr>
          <w:p w14:paraId="3228C101">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907" w:type="dxa"/>
            <w:vAlign w:val="center"/>
          </w:tcPr>
          <w:p w14:paraId="3DDEE69E">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77DC1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0C93FE6D">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lang w:val="en-US" w:eastAsia="zh-CN" w:bidi="ar"/>
              </w:rPr>
              <w:t>安全管理组织机构</w:t>
            </w:r>
          </w:p>
        </w:tc>
      </w:tr>
      <w:tr w14:paraId="6194B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3666BBD">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2789" w:type="dxa"/>
            <w:vAlign w:val="center"/>
          </w:tcPr>
          <w:p w14:paraId="5E260C4E">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矿山、金属冶炼、建筑施工、运输单位和危险物品的生产、经营、储存、装卸单位，应当设置安全生产管理机构或者配备专职安全生产管理人员。前款规定以外的其他生产经营单位，从业人员超过一百人的，应当设置安全生产管理机构或者配备专职安全生产管理人员；从业人员在一百人以下的，应当配备专职或者兼职的安全生产管理人员。</w:t>
            </w:r>
          </w:p>
        </w:tc>
        <w:tc>
          <w:tcPr>
            <w:tcW w:w="2376" w:type="dxa"/>
            <w:vAlign w:val="center"/>
          </w:tcPr>
          <w:p w14:paraId="37831135">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《中华人民共和国安全生产法》（主席令第88号）第 24 条</w:t>
            </w:r>
          </w:p>
        </w:tc>
        <w:tc>
          <w:tcPr>
            <w:tcW w:w="2575" w:type="dxa"/>
            <w:vAlign w:val="center"/>
          </w:tcPr>
          <w:p w14:paraId="56D73FCC">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该企业成立有安全生产领导小组，并任命了专职安全管理人员，已持证上岗。</w:t>
            </w:r>
          </w:p>
        </w:tc>
        <w:tc>
          <w:tcPr>
            <w:tcW w:w="907" w:type="dxa"/>
            <w:vAlign w:val="center"/>
          </w:tcPr>
          <w:p w14:paraId="3E74BE43">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符合</w:t>
            </w:r>
          </w:p>
        </w:tc>
      </w:tr>
      <w:tr w14:paraId="16D36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C11040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2789" w:type="dxa"/>
            <w:vAlign w:val="center"/>
          </w:tcPr>
          <w:p w14:paraId="1407F9D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矿山、金属冶炼、建筑施工、道路运输单位和危险物品的生产、经营、储存、废弃处置单位，应当设置专门的安全生产管理机构或者配备相应的专职安全生产管理人员。前款规定以外的其他生产经营单位，从业人员超过 100 人的，应当设置安全生产管理机构，专职安全生产管理人员不得少于 2 人；从业人员在100 人以下的，应当配备专职或者兼职安全生产管理人员，或者委托依法设立的机构提供安全生产管理服务。生产经营单位的分支机构或者所属单位，应当按照本条规定设置、配备安全生产管理机构和人员。</w:t>
            </w:r>
          </w:p>
        </w:tc>
        <w:tc>
          <w:tcPr>
            <w:tcW w:w="2376" w:type="dxa"/>
            <w:vAlign w:val="center"/>
          </w:tcPr>
          <w:p w14:paraId="3315792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《云南省安全生产条例》（2017 年 11 月 30 日云南省第十二届人民代表大会常务委员会第三十八次会议通过）第十五条</w:t>
            </w:r>
          </w:p>
        </w:tc>
        <w:tc>
          <w:tcPr>
            <w:tcW w:w="2575" w:type="dxa"/>
            <w:vAlign w:val="center"/>
          </w:tcPr>
          <w:p w14:paraId="2AB631CC">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该企业从业人员未超过 100 人，配备有兼职安全生产管理人员。 </w:t>
            </w:r>
          </w:p>
        </w:tc>
        <w:tc>
          <w:tcPr>
            <w:tcW w:w="907" w:type="dxa"/>
            <w:vAlign w:val="center"/>
          </w:tcPr>
          <w:p w14:paraId="2695734A">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6966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0D4D0F53">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hAnsi="宋体" w:cs="宋体"/>
                <w:b/>
                <w:bCs/>
                <w:color w:val="000000"/>
                <w:kern w:val="0"/>
                <w:sz w:val="24"/>
                <w:szCs w:val="24"/>
                <w:vertAlign w:val="baseline"/>
                <w:lang w:val="en-US" w:eastAsia="zh-CN" w:bidi="ar"/>
              </w:rPr>
              <w:t>安全管理规章制度</w:t>
            </w:r>
          </w:p>
        </w:tc>
      </w:tr>
      <w:tr w14:paraId="5199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3722FF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3</w:t>
            </w:r>
          </w:p>
        </w:tc>
        <w:tc>
          <w:tcPr>
            <w:tcW w:w="2789" w:type="dxa"/>
            <w:vAlign w:val="center"/>
          </w:tcPr>
          <w:p w14:paraId="6EB26529">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hAnsi="宋体" w:cs="宋体"/>
                <w:color w:val="auto"/>
                <w:sz w:val="24"/>
                <w:szCs w:val="24"/>
              </w:rPr>
              <w:t>生产经营单位的主要负责人应建立、健全本单位安全生产责任制；组织制定本单位安全生产规章制度和操作规程；组织制定并实施本单位安全生产教育和培训计划；保证本单位安全生产投入的有效实施；督促、检查本单位的安全生产工作，及时消除生产安全事故隐患；组织制定并实施本单位的生产安全施工应急救援预案；及时、如实报告生产安全事故。</w:t>
            </w:r>
          </w:p>
        </w:tc>
        <w:tc>
          <w:tcPr>
            <w:tcW w:w="2376" w:type="dxa"/>
            <w:vAlign w:val="center"/>
          </w:tcPr>
          <w:p w14:paraId="36680770">
            <w:pPr>
              <w:snapToGrid w:val="0"/>
              <w:jc w:val="center"/>
              <w:rPr>
                <w:rFonts w:hint="eastAsia" w:hAnsi="宋体" w:cs="宋体"/>
                <w:color w:val="auto"/>
                <w:sz w:val="24"/>
                <w:szCs w:val="24"/>
              </w:rPr>
            </w:pPr>
            <w:r>
              <w:rPr>
                <w:rFonts w:hint="eastAsia" w:hAnsi="宋体" w:cs="宋体"/>
                <w:color w:val="auto"/>
                <w:sz w:val="24"/>
                <w:szCs w:val="24"/>
              </w:rPr>
              <w:t>《安全生产法》</w:t>
            </w:r>
          </w:p>
          <w:p w14:paraId="2805AF0A">
            <w:pPr>
              <w:snapToGrid w:val="0"/>
              <w:jc w:val="center"/>
              <w:rPr>
                <w:rFonts w:hint="eastAsia" w:hAnsi="宋体" w:cs="宋体"/>
                <w:b/>
                <w:bCs/>
                <w:color w:val="000000"/>
                <w:kern w:val="0"/>
                <w:sz w:val="24"/>
                <w:szCs w:val="24"/>
                <w:vertAlign w:val="baseline"/>
                <w:lang w:val="en-US" w:eastAsia="zh-CN" w:bidi="ar"/>
              </w:rPr>
            </w:pPr>
            <w:r>
              <w:rPr>
                <w:rFonts w:hint="eastAsia" w:hAnsi="宋体" w:cs="宋体"/>
                <w:color w:val="auto"/>
                <w:sz w:val="24"/>
                <w:szCs w:val="24"/>
              </w:rPr>
              <w:t>第十八条</w:t>
            </w:r>
          </w:p>
        </w:tc>
        <w:tc>
          <w:tcPr>
            <w:tcW w:w="2575" w:type="dxa"/>
            <w:vAlign w:val="center"/>
          </w:tcPr>
          <w:p w14:paraId="29EB4DD7">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hAnsi="宋体" w:cs="宋体"/>
                <w:color w:val="auto"/>
                <w:sz w:val="24"/>
                <w:szCs w:val="24"/>
              </w:rPr>
              <w:t>制定了安全生产责任制，符合该企业的现状。</w:t>
            </w:r>
          </w:p>
        </w:tc>
        <w:tc>
          <w:tcPr>
            <w:tcW w:w="907" w:type="dxa"/>
            <w:vAlign w:val="center"/>
          </w:tcPr>
          <w:p w14:paraId="4F32FCAB">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2437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9C62FD2">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4</w:t>
            </w:r>
          </w:p>
        </w:tc>
        <w:tc>
          <w:tcPr>
            <w:tcW w:w="2789" w:type="dxa"/>
            <w:vAlign w:val="center"/>
          </w:tcPr>
          <w:p w14:paraId="7D4AD562">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生产经营单位应当教育和督促从业人员严格执行本单位的安全生产规章制度和安全操作规程；并向从业人员如实告知作业场所和工作岗位存在的危险因素、防范措施以及事故应急措施。</w:t>
            </w:r>
          </w:p>
        </w:tc>
        <w:tc>
          <w:tcPr>
            <w:tcW w:w="2376" w:type="dxa"/>
            <w:vAlign w:val="center"/>
          </w:tcPr>
          <w:p w14:paraId="4C668D17">
            <w:pPr>
              <w:snapToGrid w:val="0"/>
              <w:jc w:val="center"/>
              <w:rPr>
                <w:rFonts w:hint="eastAsia" w:hAnsi="宋体" w:cs="宋体"/>
                <w:color w:val="auto"/>
                <w:sz w:val="24"/>
                <w:szCs w:val="24"/>
              </w:rPr>
            </w:pPr>
            <w:r>
              <w:rPr>
                <w:rFonts w:hint="eastAsia" w:hAnsi="宋体" w:cs="宋体"/>
                <w:color w:val="auto"/>
                <w:sz w:val="24"/>
                <w:szCs w:val="24"/>
              </w:rPr>
              <w:t>《安全生产法》</w:t>
            </w:r>
          </w:p>
          <w:p w14:paraId="31BC2405">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第四十一条</w:t>
            </w:r>
          </w:p>
        </w:tc>
        <w:tc>
          <w:tcPr>
            <w:tcW w:w="2575" w:type="dxa"/>
            <w:shd w:val="clear" w:color="auto" w:fill="auto"/>
            <w:vAlign w:val="center"/>
          </w:tcPr>
          <w:p w14:paraId="5DA0B143">
            <w:pPr>
              <w:autoSpaceDE w:val="0"/>
              <w:autoSpaceDN w:val="0"/>
              <w:adjustRightInd w:val="0"/>
              <w:snapToGrid w:val="0"/>
              <w:jc w:val="both"/>
              <w:rPr>
                <w:rFonts w:hint="eastAsia" w:ascii="宋体" w:hAnsi="宋体" w:eastAsia="宋体" w:cs="宋体"/>
                <w:color w:val="auto"/>
                <w:sz w:val="24"/>
                <w:szCs w:val="24"/>
                <w:lang w:val="en-US" w:eastAsia="zh-CN" w:bidi="ar-SA"/>
              </w:rPr>
            </w:pPr>
            <w:r>
              <w:rPr>
                <w:rFonts w:hint="eastAsia" w:hAnsi="宋体" w:cs="宋体"/>
                <w:color w:val="auto"/>
                <w:sz w:val="24"/>
                <w:szCs w:val="24"/>
              </w:rPr>
              <w:t>向从业人员告知作业场所和工作岗位的危险因素、防范措施及应急措施。</w:t>
            </w:r>
          </w:p>
        </w:tc>
        <w:tc>
          <w:tcPr>
            <w:tcW w:w="907" w:type="dxa"/>
            <w:vAlign w:val="center"/>
          </w:tcPr>
          <w:p w14:paraId="2AACEC7D">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C1C0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78804D9">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5</w:t>
            </w:r>
          </w:p>
        </w:tc>
        <w:tc>
          <w:tcPr>
            <w:tcW w:w="2789" w:type="dxa"/>
            <w:vAlign w:val="center"/>
          </w:tcPr>
          <w:p w14:paraId="64DFDA6E">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产经营单位应当建立健全下列制度：</w:t>
            </w:r>
          </w:p>
          <w:p w14:paraId="77269A50">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（一）安全生产责任制度；</w:t>
            </w:r>
          </w:p>
          <w:p w14:paraId="3FD8F742">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（二）安全生产例会制度；</w:t>
            </w:r>
          </w:p>
          <w:p w14:paraId="7892AD44">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（三）安全生产奖惩制度；</w:t>
            </w:r>
          </w:p>
          <w:p w14:paraId="501047CD">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（四）安全生产教育培训制度；</w:t>
            </w:r>
          </w:p>
          <w:p w14:paraId="5D426CC2">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（五）安全生产检查制度；</w:t>
            </w:r>
          </w:p>
          <w:p w14:paraId="3F6EC0A3">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（六）生产经营场所、设备、设施安全管理制度；</w:t>
            </w:r>
          </w:p>
          <w:p w14:paraId="1A2FECBE">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（七）安全生产风险分级管理控制制度；</w:t>
            </w:r>
          </w:p>
          <w:p w14:paraId="73B24677">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（八）危险源管理制度；</w:t>
            </w:r>
          </w:p>
          <w:p w14:paraId="50B27948">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（九）安全生产应急管理和事故报告处理制度； </w:t>
            </w:r>
          </w:p>
          <w:p w14:paraId="24804D1C">
            <w:pPr>
              <w:autoSpaceDE w:val="0"/>
              <w:autoSpaceDN w:val="0"/>
              <w:adjustRightInd w:val="0"/>
              <w:snapToGrid w:val="0"/>
              <w:jc w:val="left"/>
              <w:rPr>
                <w:rFonts w:hint="eastAsia" w:hAnsi="宋体" w:cs="宋体"/>
                <w:color w:val="auto"/>
                <w:sz w:val="24"/>
                <w:szCs w:val="24"/>
              </w:rPr>
            </w:pPr>
            <w:r>
              <w:rPr>
                <w:rFonts w:hint="eastAsia" w:hAnsi="宋体" w:cs="宋体"/>
                <w:color w:val="auto"/>
                <w:sz w:val="24"/>
                <w:szCs w:val="24"/>
              </w:rPr>
              <w:t>（十）危险作业、特种作业人员、劳动防护用品管理制度；</w:t>
            </w:r>
          </w:p>
          <w:p w14:paraId="1E11E39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（十一）法律法规规定的其他安全生产制度。</w:t>
            </w:r>
          </w:p>
        </w:tc>
        <w:tc>
          <w:tcPr>
            <w:tcW w:w="2376" w:type="dxa"/>
            <w:vAlign w:val="center"/>
          </w:tcPr>
          <w:p w14:paraId="122A094B">
            <w:pPr>
              <w:autoSpaceDE w:val="0"/>
              <w:autoSpaceDN w:val="0"/>
              <w:adjustRightInd w:val="0"/>
              <w:snapToGrid w:val="0"/>
              <w:jc w:val="center"/>
              <w:rPr>
                <w:rFonts w:hint="eastAsia" w:hAnsi="宋体" w:cs="宋体"/>
                <w:color w:val="auto"/>
                <w:sz w:val="24"/>
                <w:szCs w:val="24"/>
              </w:rPr>
            </w:pPr>
            <w:r>
              <w:rPr>
                <w:rFonts w:hint="eastAsia" w:hAnsi="宋体" w:cs="宋体"/>
                <w:color w:val="auto"/>
                <w:sz w:val="24"/>
                <w:szCs w:val="24"/>
              </w:rPr>
              <w:t>《云南省安全生产条例》</w:t>
            </w:r>
          </w:p>
          <w:p w14:paraId="2F9C3881">
            <w:pPr>
              <w:keepNext w:val="0"/>
              <w:keepLines w:val="0"/>
              <w:widowControl/>
              <w:suppressLineNumbers w:val="0"/>
              <w:jc w:val="center"/>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第十八条</w:t>
            </w:r>
          </w:p>
        </w:tc>
        <w:tc>
          <w:tcPr>
            <w:tcW w:w="2575" w:type="dxa"/>
            <w:vAlign w:val="center"/>
          </w:tcPr>
          <w:p w14:paraId="3D3228DA">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hAnsi="宋体" w:cs="宋体"/>
                <w:color w:val="auto"/>
                <w:sz w:val="24"/>
                <w:szCs w:val="24"/>
              </w:rPr>
              <w:t>制定了适用于该企业的安全生产管理制度。</w:t>
            </w:r>
          </w:p>
        </w:tc>
        <w:tc>
          <w:tcPr>
            <w:tcW w:w="907" w:type="dxa"/>
            <w:vAlign w:val="center"/>
          </w:tcPr>
          <w:p w14:paraId="7809CB3E">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B9388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85E4E02">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6</w:t>
            </w:r>
          </w:p>
        </w:tc>
        <w:tc>
          <w:tcPr>
            <w:tcW w:w="2789" w:type="dxa"/>
            <w:vAlign w:val="center"/>
          </w:tcPr>
          <w:p w14:paraId="2A43CBA8">
            <w:pPr>
              <w:keepNext w:val="0"/>
              <w:keepLines w:val="0"/>
              <w:widowControl/>
              <w:suppressLineNumbers w:val="0"/>
              <w:jc w:val="both"/>
              <w:rPr>
                <w:rFonts w:hint="eastAsia" w:hAnsi="宋体" w:cs="宋体"/>
                <w:color w:val="auto"/>
                <w:sz w:val="24"/>
                <w:szCs w:val="24"/>
              </w:rPr>
            </w:pPr>
            <w:r>
              <w:rPr>
                <w:rFonts w:hint="eastAsia" w:hAnsi="宋体" w:cs="宋体"/>
                <w:color w:val="auto"/>
                <w:sz w:val="24"/>
                <w:szCs w:val="24"/>
              </w:rPr>
              <w:t>生产经营单位进行高处作业、有限空间作业、危险物品充装和接卸作业、危险场所动火作业等危险作业，应当严格执行操作规程，落实安全措施，加强现场安全管理。</w:t>
            </w:r>
          </w:p>
        </w:tc>
        <w:tc>
          <w:tcPr>
            <w:tcW w:w="2376" w:type="dxa"/>
            <w:shd w:val="clear" w:color="auto" w:fill="auto"/>
            <w:vAlign w:val="center"/>
          </w:tcPr>
          <w:p w14:paraId="02AF3F58">
            <w:pPr>
              <w:autoSpaceDE w:val="0"/>
              <w:autoSpaceDN w:val="0"/>
              <w:adjustRightInd w:val="0"/>
              <w:snapToGrid w:val="0"/>
              <w:jc w:val="center"/>
              <w:rPr>
                <w:rFonts w:hint="eastAsia" w:hAnsi="宋体" w:cs="宋体"/>
                <w:color w:val="auto"/>
                <w:sz w:val="24"/>
                <w:szCs w:val="24"/>
              </w:rPr>
            </w:pPr>
            <w:r>
              <w:rPr>
                <w:rFonts w:hint="eastAsia" w:hAnsi="宋体" w:cs="宋体"/>
                <w:color w:val="auto"/>
                <w:sz w:val="24"/>
                <w:szCs w:val="24"/>
              </w:rPr>
              <w:t>《云南省安全生产条例》</w:t>
            </w:r>
          </w:p>
          <w:p w14:paraId="29CDDAD6">
            <w:pPr>
              <w:autoSpaceDE w:val="0"/>
              <w:autoSpaceDN w:val="0"/>
              <w:adjustRightInd w:val="0"/>
              <w:snapToGrid w:val="0"/>
              <w:jc w:val="center"/>
              <w:rPr>
                <w:rFonts w:hint="eastAsia" w:ascii="宋体" w:hAnsi="宋体" w:eastAsia="宋体" w:cs="宋体"/>
                <w:color w:val="auto"/>
                <w:sz w:val="24"/>
                <w:szCs w:val="24"/>
                <w:lang w:val="en-US" w:eastAsia="zh-CN" w:bidi="ar-SA"/>
              </w:rPr>
            </w:pPr>
            <w:r>
              <w:rPr>
                <w:rFonts w:hint="eastAsia" w:hAnsi="宋体" w:cs="宋体"/>
                <w:color w:val="auto"/>
                <w:sz w:val="24"/>
                <w:szCs w:val="24"/>
              </w:rPr>
              <w:t>第二十一条</w:t>
            </w:r>
          </w:p>
        </w:tc>
        <w:tc>
          <w:tcPr>
            <w:tcW w:w="2575" w:type="dxa"/>
            <w:shd w:val="clear" w:color="auto" w:fill="auto"/>
            <w:vAlign w:val="center"/>
          </w:tcPr>
          <w:p w14:paraId="1CCE929B">
            <w:pPr>
              <w:autoSpaceDE w:val="0"/>
              <w:autoSpaceDN w:val="0"/>
              <w:adjustRightInd w:val="0"/>
              <w:snapToGrid w:val="0"/>
              <w:jc w:val="both"/>
              <w:rPr>
                <w:rFonts w:hint="eastAsia" w:ascii="宋体" w:hAnsi="宋体" w:eastAsia="宋体" w:cs="宋体"/>
                <w:color w:val="auto"/>
                <w:sz w:val="24"/>
                <w:szCs w:val="24"/>
                <w:lang w:val="en-US" w:eastAsia="zh-CN" w:bidi="ar-SA"/>
              </w:rPr>
            </w:pPr>
            <w:r>
              <w:rPr>
                <w:rFonts w:hint="eastAsia" w:hAnsi="宋体" w:cs="宋体"/>
                <w:color w:val="auto"/>
                <w:sz w:val="24"/>
                <w:szCs w:val="24"/>
              </w:rPr>
              <w:t>严格执行危险作业的操作规程，有相关记录。</w:t>
            </w:r>
          </w:p>
        </w:tc>
        <w:tc>
          <w:tcPr>
            <w:tcW w:w="907" w:type="dxa"/>
            <w:vAlign w:val="center"/>
          </w:tcPr>
          <w:p w14:paraId="42A46C30">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DE2F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30FBE5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7</w:t>
            </w:r>
          </w:p>
        </w:tc>
        <w:tc>
          <w:tcPr>
            <w:tcW w:w="2789" w:type="dxa"/>
            <w:vAlign w:val="center"/>
          </w:tcPr>
          <w:p w14:paraId="58476249">
            <w:pPr>
              <w:keepNext w:val="0"/>
              <w:keepLines w:val="0"/>
              <w:widowControl/>
              <w:suppressLineNumbers w:val="0"/>
              <w:jc w:val="both"/>
              <w:rPr>
                <w:rFonts w:hint="eastAsia" w:hAnsi="宋体" w:cs="宋体"/>
                <w:color w:val="auto"/>
                <w:sz w:val="24"/>
                <w:szCs w:val="24"/>
              </w:rPr>
            </w:pPr>
            <w:r>
              <w:rPr>
                <w:rFonts w:hint="eastAsia" w:ascii="宋体" w:hAnsi="宋体" w:eastAsia="宋体" w:cs="宋体"/>
                <w:color w:val="000000"/>
                <w:kern w:val="0"/>
                <w:sz w:val="24"/>
                <w:szCs w:val="24"/>
                <w:lang w:val="en-US" w:eastAsia="zh-CN" w:bidi="ar"/>
              </w:rPr>
              <w:t>生产经营单位应当按照安全生产法和有关法律、行政法规和本规定，建立健全安全培训工作制度。</w:t>
            </w:r>
          </w:p>
        </w:tc>
        <w:tc>
          <w:tcPr>
            <w:tcW w:w="2376" w:type="dxa"/>
            <w:shd w:val="clear" w:color="auto" w:fill="auto"/>
            <w:vAlign w:val="center"/>
          </w:tcPr>
          <w:p w14:paraId="18377619">
            <w:pPr>
              <w:keepNext w:val="0"/>
              <w:keepLines w:val="0"/>
              <w:widowControl/>
              <w:suppressLineNumbers w:val="0"/>
              <w:jc w:val="both"/>
              <w:rPr>
                <w:rFonts w:hint="eastAsia" w:hAnsi="宋体" w:cs="宋体"/>
                <w:color w:val="auto"/>
                <w:sz w:val="24"/>
                <w:szCs w:val="24"/>
              </w:rPr>
            </w:pPr>
            <w:r>
              <w:rPr>
                <w:rFonts w:hint="eastAsia" w:ascii="宋体" w:hAnsi="宋体" w:eastAsia="宋体" w:cs="宋体"/>
                <w:color w:val="000000"/>
                <w:kern w:val="0"/>
                <w:sz w:val="24"/>
                <w:szCs w:val="24"/>
                <w:lang w:val="en-US" w:eastAsia="zh-CN" w:bidi="ar"/>
              </w:rPr>
              <w:t>《生产经营单位安全培训规定》（国家安监总局令第 3 号）第三条及《国家安全监管总局关于修改〈生产经营单位安全培训规定〉等 11 件 规章的决定》（国家安全生产监督管理总局令第 63 号）</w:t>
            </w:r>
          </w:p>
        </w:tc>
        <w:tc>
          <w:tcPr>
            <w:tcW w:w="2575" w:type="dxa"/>
            <w:shd w:val="clear" w:color="auto" w:fill="auto"/>
            <w:vAlign w:val="center"/>
          </w:tcPr>
          <w:p w14:paraId="3D24F7DE">
            <w:pPr>
              <w:keepNext w:val="0"/>
              <w:keepLines w:val="0"/>
              <w:widowControl/>
              <w:suppressLineNumbers w:val="0"/>
              <w:jc w:val="both"/>
              <w:rPr>
                <w:rFonts w:hint="eastAsia" w:hAnsi="宋体" w:cs="宋体"/>
                <w:color w:val="auto"/>
                <w:sz w:val="24"/>
                <w:szCs w:val="24"/>
              </w:rPr>
            </w:pPr>
            <w:r>
              <w:rPr>
                <w:rFonts w:hint="eastAsia" w:ascii="宋体" w:hAnsi="宋体" w:eastAsia="宋体" w:cs="宋体"/>
                <w:color w:val="000000"/>
                <w:kern w:val="0"/>
                <w:sz w:val="24"/>
                <w:szCs w:val="24"/>
                <w:lang w:val="en-US" w:eastAsia="zh-CN" w:bidi="ar"/>
              </w:rPr>
              <w:t>已建立了安全教育培训制度，并对管理人员、操作人员进行了相应的安全教育培训。</w:t>
            </w:r>
          </w:p>
        </w:tc>
        <w:tc>
          <w:tcPr>
            <w:tcW w:w="907" w:type="dxa"/>
            <w:vAlign w:val="center"/>
          </w:tcPr>
          <w:p w14:paraId="1BE48FEE">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23A34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2CBD04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8</w:t>
            </w:r>
          </w:p>
        </w:tc>
        <w:tc>
          <w:tcPr>
            <w:tcW w:w="2789" w:type="dxa"/>
            <w:vAlign w:val="center"/>
          </w:tcPr>
          <w:p w14:paraId="0101264B">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落实企业安全生产主体责任是做好安全生产工作的前提，是安全监管工作的靶向目标。各级应急管理部门和有关工贸企业要高度重视《清单》中 5 个层面 29 项法定重点事项，结合本地区、本企业实际，认真学习领会每项重点事项的重要内容，并采取行之有效的方式落实到具体工作中，为切实做好企业安全生产工作奠定坚实基础。</w:t>
            </w:r>
          </w:p>
        </w:tc>
        <w:tc>
          <w:tcPr>
            <w:tcW w:w="2376" w:type="dxa"/>
            <w:shd w:val="clear" w:color="auto" w:fill="auto"/>
            <w:vAlign w:val="center"/>
          </w:tcPr>
          <w:p w14:paraId="18D2632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云南省应急管理厅关于印发《云南省工贸企业安全生产主体责任重点事项清单（暂行）》的通知（云应急〔2022〕9 号）</w:t>
            </w:r>
          </w:p>
        </w:tc>
        <w:tc>
          <w:tcPr>
            <w:tcW w:w="2575" w:type="dxa"/>
            <w:shd w:val="clear" w:color="auto" w:fill="auto"/>
            <w:vAlign w:val="center"/>
          </w:tcPr>
          <w:p w14:paraId="2CD2D58F">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企业已组织学习和贯彻，基本能落实相关要求。</w:t>
            </w:r>
          </w:p>
        </w:tc>
        <w:tc>
          <w:tcPr>
            <w:tcW w:w="907" w:type="dxa"/>
            <w:vAlign w:val="center"/>
          </w:tcPr>
          <w:p w14:paraId="0B977CF9">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0273FB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11BFB4A5">
            <w:pPr>
              <w:keepNext w:val="0"/>
              <w:keepLines w:val="0"/>
              <w:widowControl/>
              <w:suppressLineNumbers w:val="0"/>
              <w:jc w:val="center"/>
              <w:rPr>
                <w:rFonts w:hint="default" w:hAnsi="宋体" w:cs="宋体"/>
                <w:b/>
                <w:bCs/>
                <w:color w:val="000000"/>
                <w:kern w:val="0"/>
                <w:sz w:val="24"/>
                <w:szCs w:val="24"/>
                <w:vertAlign w:val="baseline"/>
                <w:lang w:val="en-US" w:eastAsia="zh-CN" w:bidi="ar"/>
              </w:rPr>
            </w:pPr>
            <w:r>
              <w:rPr>
                <w:rFonts w:hint="eastAsia" w:hAnsi="宋体" w:cs="宋体"/>
                <w:b/>
                <w:bCs/>
                <w:color w:val="000000"/>
                <w:kern w:val="0"/>
                <w:sz w:val="24"/>
                <w:szCs w:val="24"/>
                <w:vertAlign w:val="baseline"/>
                <w:lang w:val="en-US" w:eastAsia="zh-CN" w:bidi="ar"/>
              </w:rPr>
              <w:t>安全教育培训及人员持证</w:t>
            </w:r>
          </w:p>
        </w:tc>
      </w:tr>
      <w:tr w14:paraId="6E9E9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C36797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9</w:t>
            </w:r>
          </w:p>
        </w:tc>
        <w:tc>
          <w:tcPr>
            <w:tcW w:w="2789" w:type="dxa"/>
            <w:vAlign w:val="center"/>
          </w:tcPr>
          <w:p w14:paraId="452E889D">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单位应当通过多种形式开展经常性的消防安全宣传教育。消防安全重点单位对每名员工应当至少每年进行一次消防安全培训。</w:t>
            </w:r>
          </w:p>
        </w:tc>
        <w:tc>
          <w:tcPr>
            <w:tcW w:w="2376" w:type="dxa"/>
            <w:vAlign w:val="center"/>
          </w:tcPr>
          <w:p w14:paraId="55AA6A1C">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《机关、团体、企业、事业单位消防安全管理规定》（公安部令第 61号）第三十六条</w:t>
            </w:r>
          </w:p>
        </w:tc>
        <w:tc>
          <w:tcPr>
            <w:tcW w:w="2575" w:type="dxa"/>
            <w:vAlign w:val="center"/>
          </w:tcPr>
          <w:p w14:paraId="422BB6F1">
            <w:pPr>
              <w:keepNext w:val="0"/>
              <w:keepLines w:val="0"/>
              <w:widowControl/>
              <w:suppressLineNumbers w:val="0"/>
              <w:jc w:val="both"/>
              <w:rPr>
                <w:rFonts w:hint="eastAsia" w:hAnsi="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采用消防应急演练进行宣传消防安全知识。</w:t>
            </w:r>
          </w:p>
        </w:tc>
        <w:tc>
          <w:tcPr>
            <w:tcW w:w="907" w:type="dxa"/>
            <w:vAlign w:val="center"/>
          </w:tcPr>
          <w:p w14:paraId="5703BC5C">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62AB0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4872B7A1">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10</w:t>
            </w:r>
          </w:p>
        </w:tc>
        <w:tc>
          <w:tcPr>
            <w:tcW w:w="2789" w:type="dxa"/>
            <w:vAlign w:val="center"/>
          </w:tcPr>
          <w:p w14:paraId="6B60BAD3">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煤矿、非煤矿山、危险化学品、烟花爆竹等生产经营单位主要负责人和安全生产管理人员，必须接受专门的安全培训，经安全生产监管监察部门对其安全生产知识和管理能力考核合格，取得安全资格证书后，方可任职。</w:t>
            </w:r>
          </w:p>
        </w:tc>
        <w:tc>
          <w:tcPr>
            <w:tcW w:w="2376" w:type="dxa"/>
            <w:vAlign w:val="center"/>
          </w:tcPr>
          <w:p w14:paraId="161FB28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《生产经营单位安全培训规定》（国家安监总局令第 3 号）第六条及《国家安全监管总局关于修改〈生产经营单位安全培训规定〉等 11 件 规章的决定》（国家安全生产监督管理总局令第 63 号）</w:t>
            </w:r>
          </w:p>
        </w:tc>
        <w:tc>
          <w:tcPr>
            <w:tcW w:w="2575" w:type="dxa"/>
            <w:vAlign w:val="center"/>
          </w:tcPr>
          <w:p w14:paraId="70B71549">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主要负责人、安全员已取得安全管理资格证。</w:t>
            </w:r>
          </w:p>
        </w:tc>
        <w:tc>
          <w:tcPr>
            <w:tcW w:w="907" w:type="dxa"/>
            <w:vAlign w:val="center"/>
          </w:tcPr>
          <w:p w14:paraId="09F924B8">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3D5C3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9883D86">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11</w:t>
            </w:r>
          </w:p>
        </w:tc>
        <w:tc>
          <w:tcPr>
            <w:tcW w:w="2789" w:type="dxa"/>
            <w:vAlign w:val="center"/>
          </w:tcPr>
          <w:p w14:paraId="20ADD5A0">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生产经营单位的特种作业人员，必须按照国家有关法律、法规的规定接受专门的安全培训，经考核合格，取得特种作业操作资格证书后，方可上岗作业。</w:t>
            </w:r>
          </w:p>
        </w:tc>
        <w:tc>
          <w:tcPr>
            <w:tcW w:w="2376" w:type="dxa"/>
            <w:vAlign w:val="center"/>
          </w:tcPr>
          <w:p w14:paraId="0BB47B7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《生产经营单位安全培训规定》（国家安监总局令第 3 号）第二十条及《国家安全监管总局关于修改〈生产经营单位安全培训规定〉等 11 件规章的决定》（国家安全生产监督管理总局令第 63 号） </w:t>
            </w:r>
          </w:p>
        </w:tc>
        <w:tc>
          <w:tcPr>
            <w:tcW w:w="2575" w:type="dxa"/>
            <w:vAlign w:val="center"/>
          </w:tcPr>
          <w:p w14:paraId="731CFD87">
            <w:pPr>
              <w:keepNext w:val="0"/>
              <w:keepLines w:val="0"/>
              <w:widowControl/>
              <w:suppressLineNumbers w:val="0"/>
              <w:jc w:val="both"/>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本项目涉及的特种作业人员已取得了特种作业操作资格证书，且在有效期内。</w:t>
            </w:r>
          </w:p>
        </w:tc>
        <w:tc>
          <w:tcPr>
            <w:tcW w:w="907" w:type="dxa"/>
            <w:vAlign w:val="center"/>
          </w:tcPr>
          <w:p w14:paraId="700FDA9A">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符合</w:t>
            </w:r>
          </w:p>
        </w:tc>
      </w:tr>
      <w:tr w14:paraId="59619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7E174077">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bCs/>
                <w:color w:val="000000"/>
                <w:kern w:val="0"/>
                <w:sz w:val="24"/>
                <w:szCs w:val="24"/>
                <w:vertAlign w:val="baseline"/>
                <w:lang w:val="en-US" w:eastAsia="zh-CN" w:bidi="ar"/>
              </w:rPr>
              <w:t>安全投入</w:t>
            </w:r>
          </w:p>
        </w:tc>
      </w:tr>
      <w:tr w14:paraId="407B0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98ACA1D">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12</w:t>
            </w:r>
          </w:p>
        </w:tc>
        <w:tc>
          <w:tcPr>
            <w:tcW w:w="2789" w:type="dxa"/>
            <w:shd w:val="clear" w:color="auto" w:fill="auto"/>
            <w:vAlign w:val="center"/>
          </w:tcPr>
          <w:p w14:paraId="535DA1D4">
            <w:pPr>
              <w:autoSpaceDE w:val="0"/>
              <w:autoSpaceDN w:val="0"/>
              <w:adjustRightInd w:val="0"/>
              <w:snapToGrid w:val="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生产经营单位必须为从业人员提供符合国家标准或者行业标准的劳动防护用品，并监督、教育从业人员按照使用规则佩戴、使用。</w:t>
            </w:r>
          </w:p>
        </w:tc>
        <w:tc>
          <w:tcPr>
            <w:tcW w:w="2376" w:type="dxa"/>
            <w:shd w:val="clear" w:color="auto" w:fill="auto"/>
            <w:vAlign w:val="center"/>
          </w:tcPr>
          <w:p w14:paraId="2B34F912">
            <w:pPr>
              <w:snapToGrid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《安全生产法》</w:t>
            </w:r>
          </w:p>
          <w:p w14:paraId="3F168F41">
            <w:pPr>
              <w:snapToGrid w:val="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第四十二条</w:t>
            </w:r>
          </w:p>
        </w:tc>
        <w:tc>
          <w:tcPr>
            <w:tcW w:w="2575" w:type="dxa"/>
            <w:shd w:val="clear" w:color="auto" w:fill="auto"/>
            <w:vAlign w:val="center"/>
          </w:tcPr>
          <w:p w14:paraId="551EA814">
            <w:pPr>
              <w:adjustRightInd w:val="0"/>
              <w:snapToGrid w:val="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提供</w:t>
            </w:r>
            <w:r>
              <w:rPr>
                <w:rFonts w:hint="eastAsia" w:ascii="宋体" w:hAnsi="宋体" w:eastAsia="宋体" w:cs="宋体"/>
                <w:color w:val="auto"/>
                <w:sz w:val="24"/>
                <w:szCs w:val="24"/>
                <w:lang w:val="en-US" w:eastAsia="zh-CN"/>
              </w:rPr>
              <w:t>防尘</w:t>
            </w:r>
            <w:r>
              <w:rPr>
                <w:rFonts w:hint="eastAsia" w:ascii="宋体" w:hAnsi="宋体" w:eastAsia="宋体" w:cs="宋体"/>
                <w:color w:val="auto"/>
                <w:sz w:val="24"/>
                <w:szCs w:val="24"/>
              </w:rPr>
              <w:t>口罩、安全帽等劳动防护用品。</w:t>
            </w:r>
          </w:p>
        </w:tc>
        <w:tc>
          <w:tcPr>
            <w:tcW w:w="907" w:type="dxa"/>
            <w:shd w:val="clear" w:color="auto" w:fill="auto"/>
            <w:vAlign w:val="center"/>
          </w:tcPr>
          <w:p w14:paraId="0175A520">
            <w:pPr>
              <w:autoSpaceDE w:val="0"/>
              <w:autoSpaceDN w:val="0"/>
              <w:adjustRightInd w:val="0"/>
              <w:snapToGrid w:val="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符合</w:t>
            </w:r>
          </w:p>
        </w:tc>
      </w:tr>
      <w:tr w14:paraId="58E4A9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1469E706">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13</w:t>
            </w:r>
          </w:p>
        </w:tc>
        <w:tc>
          <w:tcPr>
            <w:tcW w:w="2789" w:type="dxa"/>
            <w:shd w:val="clear" w:color="auto" w:fill="auto"/>
            <w:vAlign w:val="center"/>
          </w:tcPr>
          <w:p w14:paraId="635BAB89">
            <w:pPr>
              <w:autoSpaceDE w:val="0"/>
              <w:autoSpaceDN w:val="0"/>
              <w:adjustRightInd w:val="0"/>
              <w:snapToGrid w:val="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生产经营单位必须依法参加工伤保险，为从业人员缴纳保险费。</w:t>
            </w:r>
          </w:p>
        </w:tc>
        <w:tc>
          <w:tcPr>
            <w:tcW w:w="2376" w:type="dxa"/>
            <w:shd w:val="clear" w:color="auto" w:fill="auto"/>
            <w:vAlign w:val="center"/>
          </w:tcPr>
          <w:p w14:paraId="0B1DE313">
            <w:pPr>
              <w:snapToGrid w:val="0"/>
              <w:jc w:val="center"/>
              <w:rPr>
                <w:rFonts w:hint="eastAsia" w:ascii="宋体" w:hAnsi="宋体" w:eastAsia="宋体" w:cs="宋体"/>
                <w:color w:val="auto"/>
                <w:sz w:val="24"/>
                <w:szCs w:val="24"/>
              </w:rPr>
            </w:pPr>
            <w:r>
              <w:rPr>
                <w:rFonts w:hint="eastAsia" w:ascii="宋体" w:hAnsi="宋体" w:eastAsia="宋体" w:cs="宋体"/>
                <w:color w:val="auto"/>
                <w:sz w:val="24"/>
                <w:szCs w:val="24"/>
              </w:rPr>
              <w:t>《安全生产法》</w:t>
            </w:r>
          </w:p>
          <w:p w14:paraId="0BED059A">
            <w:pPr>
              <w:snapToGrid w:val="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rPr>
              <w:t>第四十八条</w:t>
            </w:r>
          </w:p>
        </w:tc>
        <w:tc>
          <w:tcPr>
            <w:tcW w:w="2575" w:type="dxa"/>
            <w:shd w:val="clear" w:color="auto" w:fill="auto"/>
            <w:vAlign w:val="center"/>
          </w:tcPr>
          <w:p w14:paraId="126D0E0B">
            <w:pPr>
              <w:adjustRightInd w:val="0"/>
              <w:snapToGrid w:val="0"/>
              <w:jc w:val="both"/>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highlight w:val="none"/>
                <w:lang w:val="en-US" w:eastAsia="zh-CN"/>
              </w:rPr>
              <w:t>缴纳了‘安全生产责任险’</w:t>
            </w:r>
          </w:p>
        </w:tc>
        <w:tc>
          <w:tcPr>
            <w:tcW w:w="907" w:type="dxa"/>
            <w:shd w:val="clear" w:color="auto" w:fill="auto"/>
            <w:vAlign w:val="center"/>
          </w:tcPr>
          <w:p w14:paraId="2D0AFD6F">
            <w:pPr>
              <w:autoSpaceDE w:val="0"/>
              <w:autoSpaceDN w:val="0"/>
              <w:adjustRightInd w:val="0"/>
              <w:snapToGrid w:val="0"/>
              <w:jc w:val="center"/>
              <w:rPr>
                <w:rFonts w:hint="eastAsia" w:ascii="宋体" w:hAnsi="宋体" w:eastAsia="宋体" w:cs="宋体"/>
                <w:color w:val="auto"/>
                <w:sz w:val="24"/>
                <w:szCs w:val="24"/>
                <w:lang w:val="en-US" w:eastAsia="zh-CN" w:bidi="ar-SA"/>
              </w:rPr>
            </w:pPr>
            <w:r>
              <w:rPr>
                <w:rFonts w:hint="eastAsia" w:ascii="宋体" w:hAnsi="宋体" w:eastAsia="宋体" w:cs="宋体"/>
                <w:color w:val="auto"/>
                <w:sz w:val="24"/>
                <w:szCs w:val="24"/>
                <w:lang w:val="en-US" w:eastAsia="zh-CN"/>
              </w:rPr>
              <w:t>符合</w:t>
            </w:r>
          </w:p>
        </w:tc>
      </w:tr>
      <w:tr w14:paraId="2AA5E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7D2AA1BA">
            <w:pPr>
              <w:keepNext w:val="0"/>
              <w:keepLines w:val="0"/>
              <w:widowControl/>
              <w:suppressLineNumbers w:val="0"/>
              <w:jc w:val="center"/>
              <w:rPr>
                <w:rFonts w:hint="eastAsia" w:ascii="宋体" w:hAnsi="宋体" w:eastAsia="宋体" w:cs="宋体"/>
                <w:color w:val="auto"/>
                <w:sz w:val="24"/>
                <w:szCs w:val="24"/>
                <w:lang w:val="en-US" w:eastAsia="zh-CN"/>
              </w:rPr>
            </w:pPr>
            <w:r>
              <w:rPr>
                <w:rFonts w:hint="eastAsia" w:ascii="宋体" w:hAnsi="宋体" w:eastAsia="宋体" w:cs="宋体"/>
                <w:b/>
                <w:bCs/>
                <w:color w:val="000000"/>
                <w:kern w:val="0"/>
                <w:sz w:val="24"/>
                <w:szCs w:val="24"/>
                <w:lang w:val="en-US" w:eastAsia="zh-CN" w:bidi="ar"/>
              </w:rPr>
              <w:t>特种设备安全管理</w:t>
            </w:r>
          </w:p>
        </w:tc>
      </w:tr>
      <w:tr w14:paraId="6BEBB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EA9DD8F">
            <w:pPr>
              <w:keepNext w:val="0"/>
              <w:keepLines w:val="0"/>
              <w:widowControl/>
              <w:suppressLineNumbers w:val="0"/>
              <w:jc w:val="center"/>
              <w:rPr>
                <w:rFonts w:hint="default" w:hAnsi="宋体" w:cs="宋体"/>
                <w:b w:val="0"/>
                <w:bCs w:val="0"/>
                <w:color w:val="000000"/>
                <w:kern w:val="0"/>
                <w:sz w:val="24"/>
                <w:szCs w:val="24"/>
                <w:vertAlign w:val="baseline"/>
                <w:lang w:val="en-US" w:eastAsia="zh-CN" w:bidi="ar"/>
              </w:rPr>
            </w:pPr>
            <w:r>
              <w:rPr>
                <w:rFonts w:hint="eastAsia" w:hAnsi="宋体" w:cs="宋体"/>
                <w:b w:val="0"/>
                <w:bCs w:val="0"/>
                <w:color w:val="000000"/>
                <w:kern w:val="0"/>
                <w:sz w:val="24"/>
                <w:szCs w:val="24"/>
                <w:vertAlign w:val="baseline"/>
                <w:lang w:val="en-US" w:eastAsia="zh-CN" w:bidi="ar"/>
              </w:rPr>
              <w:t>14</w:t>
            </w:r>
          </w:p>
        </w:tc>
        <w:tc>
          <w:tcPr>
            <w:tcW w:w="2789" w:type="dxa"/>
            <w:shd w:val="clear" w:color="auto" w:fill="auto"/>
            <w:vAlign w:val="center"/>
          </w:tcPr>
          <w:p w14:paraId="5B5AED0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生产经营单位使用的危险物品的容器、运输工具，以及涉及人身安全、 </w:t>
            </w:r>
          </w:p>
          <w:p w14:paraId="074192C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危险性较大的海洋石油开采特种设备和矿山井下特种设备，必须按照国家有关规定，由专业生产单位生产，并经具有专业资质的检测、检验机构检 </w:t>
            </w:r>
          </w:p>
          <w:p w14:paraId="28429AE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测、检验合格，取得安全使用证或者安全标志，方可投入使用。检测、检 </w:t>
            </w:r>
          </w:p>
          <w:p w14:paraId="34F0ED9C">
            <w:pPr>
              <w:keepNext w:val="0"/>
              <w:keepLines w:val="0"/>
              <w:widowControl/>
              <w:suppressLineNumbers w:val="0"/>
              <w:jc w:val="left"/>
              <w:rPr>
                <w:rFonts w:hint="eastAsia" w:ascii="宋体" w:hAnsi="宋体" w:eastAsia="宋体" w:cs="宋体"/>
                <w:color w:val="auto"/>
                <w:sz w:val="24"/>
                <w:szCs w:val="24"/>
              </w:rPr>
            </w:pPr>
            <w:r>
              <w:rPr>
                <w:rFonts w:hint="eastAsia" w:ascii="宋体" w:hAnsi="宋体" w:eastAsia="宋体" w:cs="宋体"/>
                <w:color w:val="000000"/>
                <w:kern w:val="0"/>
                <w:sz w:val="24"/>
                <w:szCs w:val="24"/>
                <w:lang w:val="en-US" w:eastAsia="zh-CN" w:bidi="ar"/>
              </w:rPr>
              <w:t>验机构对检测、检验结果负责。</w:t>
            </w:r>
          </w:p>
        </w:tc>
        <w:tc>
          <w:tcPr>
            <w:tcW w:w="2376" w:type="dxa"/>
            <w:shd w:val="clear" w:color="auto" w:fill="auto"/>
            <w:vAlign w:val="center"/>
          </w:tcPr>
          <w:p w14:paraId="2A93C07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《中华人民共和国安全生产法》 </w:t>
            </w:r>
          </w:p>
          <w:p w14:paraId="4F3EC6B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37 条</w:t>
            </w:r>
          </w:p>
          <w:p w14:paraId="3338F35A">
            <w:pPr>
              <w:snapToGrid w:val="0"/>
              <w:jc w:val="center"/>
              <w:rPr>
                <w:rFonts w:hint="eastAsia" w:ascii="宋体" w:hAnsi="宋体" w:eastAsia="宋体" w:cs="宋体"/>
                <w:color w:val="auto"/>
                <w:sz w:val="24"/>
                <w:szCs w:val="24"/>
              </w:rPr>
            </w:pPr>
          </w:p>
        </w:tc>
        <w:tc>
          <w:tcPr>
            <w:tcW w:w="2575" w:type="dxa"/>
            <w:shd w:val="clear" w:color="auto" w:fill="auto"/>
            <w:vAlign w:val="center"/>
          </w:tcPr>
          <w:p w14:paraId="03730916">
            <w:pPr>
              <w:keepNext w:val="0"/>
              <w:keepLines w:val="0"/>
              <w:widowControl/>
              <w:suppressLineNumbers w:val="0"/>
              <w:jc w:val="left"/>
              <w:rPr>
                <w:rFonts w:hint="eastAsia" w:ascii="宋体" w:hAnsi="宋体" w:eastAsia="宋体" w:cs="宋体"/>
                <w:color w:val="auto"/>
                <w:sz w:val="24"/>
                <w:szCs w:val="24"/>
                <w:highlight w:val="none"/>
                <w:lang w:val="en-US" w:eastAsia="zh-CN"/>
              </w:rPr>
            </w:pPr>
            <w:r>
              <w:rPr>
                <w:rFonts w:hint="eastAsia" w:ascii="宋体" w:hAnsi="宋体" w:eastAsia="宋体" w:cs="宋体"/>
                <w:color w:val="000000"/>
                <w:kern w:val="0"/>
                <w:sz w:val="24"/>
                <w:szCs w:val="24"/>
                <w:lang w:val="en-US" w:eastAsia="zh-CN" w:bidi="ar"/>
              </w:rPr>
              <w:t>本项目投入使用的特种该设备（起重设备）经过玉溪市质量技术监督综合检测中心检测、检验合格后投入使用。</w:t>
            </w:r>
          </w:p>
        </w:tc>
        <w:tc>
          <w:tcPr>
            <w:tcW w:w="907" w:type="dxa"/>
            <w:shd w:val="clear" w:color="auto" w:fill="auto"/>
            <w:vAlign w:val="center"/>
          </w:tcPr>
          <w:p w14:paraId="700D9397">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766DF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C95E790">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15</w:t>
            </w:r>
          </w:p>
        </w:tc>
        <w:tc>
          <w:tcPr>
            <w:tcW w:w="2789" w:type="dxa"/>
            <w:shd w:val="clear" w:color="auto" w:fill="auto"/>
            <w:vAlign w:val="center"/>
          </w:tcPr>
          <w:p w14:paraId="7484AD0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特种设备使用单位应当使用取得许可生产并经检验合格的特种设备。禁止使用国家明令淘汰和已经报废的特种设备。</w:t>
            </w:r>
          </w:p>
        </w:tc>
        <w:tc>
          <w:tcPr>
            <w:tcW w:w="2376" w:type="dxa"/>
            <w:shd w:val="clear" w:color="auto" w:fill="auto"/>
            <w:vAlign w:val="center"/>
          </w:tcPr>
          <w:p w14:paraId="3EB9704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《中华人民共和国特种设备安全法》</w:t>
            </w:r>
          </w:p>
          <w:p w14:paraId="42B03FC0">
            <w:pPr>
              <w:keepNext w:val="0"/>
              <w:keepLines w:val="0"/>
              <w:widowControl/>
              <w:suppressLineNumbers w:val="0"/>
              <w:jc w:val="left"/>
              <w:rPr>
                <w:rFonts w:hint="eastAsia" w:ascii="宋体" w:hAnsi="宋体" w:eastAsia="宋体" w:cs="宋体"/>
                <w:color w:val="auto"/>
                <w:sz w:val="24"/>
                <w:szCs w:val="24"/>
              </w:rPr>
            </w:pPr>
            <w:r>
              <w:rPr>
                <w:rFonts w:hint="eastAsia" w:ascii="宋体" w:hAnsi="宋体" w:eastAsia="宋体" w:cs="宋体"/>
                <w:color w:val="000000"/>
                <w:kern w:val="0"/>
                <w:sz w:val="24"/>
                <w:szCs w:val="24"/>
                <w:lang w:val="en-US" w:eastAsia="zh-CN" w:bidi="ar"/>
              </w:rPr>
              <w:t>第 32 条</w:t>
            </w:r>
          </w:p>
        </w:tc>
        <w:tc>
          <w:tcPr>
            <w:tcW w:w="2575" w:type="dxa"/>
            <w:shd w:val="clear" w:color="auto" w:fill="auto"/>
            <w:vAlign w:val="center"/>
          </w:tcPr>
          <w:p w14:paraId="11F8F8B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未使用国家明令淘汰和已经报废的特种设备。</w:t>
            </w:r>
          </w:p>
        </w:tc>
        <w:tc>
          <w:tcPr>
            <w:tcW w:w="907" w:type="dxa"/>
            <w:shd w:val="clear" w:color="auto" w:fill="auto"/>
            <w:vAlign w:val="center"/>
          </w:tcPr>
          <w:p w14:paraId="4C06DA29">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1ACDAB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CDDD130">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16</w:t>
            </w:r>
          </w:p>
        </w:tc>
        <w:tc>
          <w:tcPr>
            <w:tcW w:w="2789" w:type="dxa"/>
            <w:shd w:val="clear" w:color="auto" w:fill="auto"/>
            <w:vAlign w:val="center"/>
          </w:tcPr>
          <w:p w14:paraId="6068C1F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特种设备使用单位应当在特种设备投入使用前或者投入使用后三十日内，向负责特种设备安全监督管理的部门办理使用登记，取得使用登记证书。登记标志应当置于该特种设备的显着位置。</w:t>
            </w:r>
          </w:p>
        </w:tc>
        <w:tc>
          <w:tcPr>
            <w:tcW w:w="2376" w:type="dxa"/>
            <w:shd w:val="clear" w:color="auto" w:fill="auto"/>
            <w:vAlign w:val="center"/>
          </w:tcPr>
          <w:p w14:paraId="025097F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《中华人民共和国特种设备安全法》 </w:t>
            </w:r>
          </w:p>
          <w:p w14:paraId="7BDCB313">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33 条</w:t>
            </w:r>
          </w:p>
        </w:tc>
        <w:tc>
          <w:tcPr>
            <w:tcW w:w="2575" w:type="dxa"/>
            <w:shd w:val="clear" w:color="auto" w:fill="auto"/>
            <w:vAlign w:val="center"/>
          </w:tcPr>
          <w:p w14:paraId="28AC4CA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企业使用的特种设备已向当地主管部门办理了使用登记手续，取得了使用登记证。</w:t>
            </w:r>
          </w:p>
        </w:tc>
        <w:tc>
          <w:tcPr>
            <w:tcW w:w="907" w:type="dxa"/>
            <w:shd w:val="clear" w:color="auto" w:fill="auto"/>
            <w:vAlign w:val="center"/>
          </w:tcPr>
          <w:p w14:paraId="3749A54B">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171DA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5DF428E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17</w:t>
            </w:r>
          </w:p>
        </w:tc>
        <w:tc>
          <w:tcPr>
            <w:tcW w:w="2789" w:type="dxa"/>
            <w:shd w:val="clear" w:color="auto" w:fill="auto"/>
            <w:vAlign w:val="center"/>
          </w:tcPr>
          <w:p w14:paraId="03B7E42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特种设备使用单位应当对其使用的特种设备进行经常性维护保养和定期自行检查，并作出记录。特种设备使用单位应当对其使用的特种设备的安全附件、安全保护装置进行定期校验、检修，并作出记录。</w:t>
            </w:r>
          </w:p>
        </w:tc>
        <w:tc>
          <w:tcPr>
            <w:tcW w:w="2376" w:type="dxa"/>
            <w:shd w:val="clear" w:color="auto" w:fill="auto"/>
            <w:vAlign w:val="center"/>
          </w:tcPr>
          <w:p w14:paraId="2BDABFA7">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《中华人民共和国特种设备安全法》 </w:t>
            </w:r>
          </w:p>
          <w:p w14:paraId="60CD0D0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39 条</w:t>
            </w:r>
          </w:p>
        </w:tc>
        <w:tc>
          <w:tcPr>
            <w:tcW w:w="2575" w:type="dxa"/>
            <w:shd w:val="clear" w:color="auto" w:fill="auto"/>
            <w:vAlign w:val="center"/>
          </w:tcPr>
          <w:p w14:paraId="07195D6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该项目使用的特种设备进行经常性维护保养和定期自行检查，并作出记录。</w:t>
            </w:r>
          </w:p>
        </w:tc>
        <w:tc>
          <w:tcPr>
            <w:tcW w:w="907" w:type="dxa"/>
            <w:shd w:val="clear" w:color="auto" w:fill="auto"/>
            <w:vAlign w:val="center"/>
          </w:tcPr>
          <w:p w14:paraId="5D5CEF97">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1FF86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09842936">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18</w:t>
            </w:r>
          </w:p>
        </w:tc>
        <w:tc>
          <w:tcPr>
            <w:tcW w:w="2789" w:type="dxa"/>
            <w:shd w:val="clear" w:color="auto" w:fill="auto"/>
            <w:vAlign w:val="center"/>
          </w:tcPr>
          <w:p w14:paraId="4928E6D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特种设备使用单位应当建立特种设备安全技术档案。安全技术档案应当包括以下内容： </w:t>
            </w:r>
          </w:p>
          <w:p w14:paraId="4F38542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（一）特种设备的设计文件、制造单位、产品质量合格证明、使用维护说 </w:t>
            </w:r>
          </w:p>
          <w:p w14:paraId="55D413BF">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明等文件以及安装技术文件和资料； </w:t>
            </w:r>
          </w:p>
          <w:p w14:paraId="5546BEF1">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（二）特种设备的定期检验和定期自行检查的记录； </w:t>
            </w:r>
          </w:p>
          <w:p w14:paraId="37383BF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（三）特种设备的日常使用状况记录； </w:t>
            </w:r>
          </w:p>
          <w:p w14:paraId="44A20943">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（四）特种设备及其安全附件、安全保护装置、测量调控装置及有关附属 </w:t>
            </w:r>
          </w:p>
          <w:p w14:paraId="4A8E346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仪器仪表的日常维护保养记录； </w:t>
            </w:r>
          </w:p>
          <w:p w14:paraId="6EA063DF">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（五）特种设备运行故障和事故记录； </w:t>
            </w:r>
          </w:p>
          <w:p w14:paraId="45EFA0BA">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（六）高耗能特种设备的能效测试报告、能耗状况记录以及节能改造技术 </w:t>
            </w:r>
          </w:p>
          <w:p w14:paraId="31CE512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资料。</w:t>
            </w:r>
          </w:p>
        </w:tc>
        <w:tc>
          <w:tcPr>
            <w:tcW w:w="2376" w:type="dxa"/>
            <w:shd w:val="clear" w:color="auto" w:fill="auto"/>
            <w:vAlign w:val="center"/>
          </w:tcPr>
          <w:p w14:paraId="13AB0F64">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《特种设备安全监察条例》 </w:t>
            </w:r>
          </w:p>
          <w:p w14:paraId="1E701438">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第 26 条</w:t>
            </w:r>
          </w:p>
          <w:p w14:paraId="3688CF76">
            <w:pPr>
              <w:keepNext w:val="0"/>
              <w:keepLines w:val="0"/>
              <w:widowControl/>
              <w:suppressLineNumbers w:val="0"/>
              <w:jc w:val="left"/>
              <w:rPr>
                <w:rFonts w:hint="eastAsia" w:ascii="宋体" w:hAnsi="宋体" w:eastAsia="宋体" w:cs="宋体"/>
                <w:color w:val="000000"/>
                <w:kern w:val="0"/>
                <w:sz w:val="24"/>
                <w:szCs w:val="24"/>
                <w:lang w:val="en-US" w:eastAsia="zh-CN" w:bidi="ar"/>
              </w:rPr>
            </w:pPr>
          </w:p>
        </w:tc>
        <w:tc>
          <w:tcPr>
            <w:tcW w:w="2575" w:type="dxa"/>
            <w:shd w:val="clear" w:color="auto" w:fill="auto"/>
            <w:vAlign w:val="center"/>
          </w:tcPr>
          <w:p w14:paraId="63B0EED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建立了特种设备安全技术相关档案。</w:t>
            </w:r>
          </w:p>
        </w:tc>
        <w:tc>
          <w:tcPr>
            <w:tcW w:w="907" w:type="dxa"/>
            <w:shd w:val="clear" w:color="auto" w:fill="auto"/>
            <w:vAlign w:val="center"/>
          </w:tcPr>
          <w:p w14:paraId="1A0C20DB">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11C38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6024907">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19</w:t>
            </w:r>
          </w:p>
        </w:tc>
        <w:tc>
          <w:tcPr>
            <w:tcW w:w="2789" w:type="dxa"/>
            <w:shd w:val="clear" w:color="auto" w:fill="auto"/>
            <w:vAlign w:val="center"/>
          </w:tcPr>
          <w:p w14:paraId="199C8D96">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特种设备使用单位应当按照安全技术规范的定期检验要求，在安全检验合格有效期届满前 1 个月向特种设备检验检测机构提出定期检验要求。 </w:t>
            </w:r>
          </w:p>
          <w:p w14:paraId="6CAE76C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检验检测机构接到定期检验要求后，应当按照安全技术规范的要求及时进行检验。未经定期检验或者检验不合格的特种 </w:t>
            </w:r>
          </w:p>
          <w:p w14:paraId="552039E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设备，不得继续使用。</w:t>
            </w:r>
          </w:p>
        </w:tc>
        <w:tc>
          <w:tcPr>
            <w:tcW w:w="2376" w:type="dxa"/>
            <w:shd w:val="clear" w:color="auto" w:fill="auto"/>
            <w:vAlign w:val="center"/>
          </w:tcPr>
          <w:p w14:paraId="24E9375C">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《特种设备安全监察条例》 </w:t>
            </w:r>
          </w:p>
          <w:p w14:paraId="41E0E6C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第 28 条 </w:t>
            </w:r>
          </w:p>
        </w:tc>
        <w:tc>
          <w:tcPr>
            <w:tcW w:w="2575" w:type="dxa"/>
            <w:shd w:val="clear" w:color="auto" w:fill="auto"/>
            <w:vAlign w:val="center"/>
          </w:tcPr>
          <w:p w14:paraId="118F079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该项目所用特种设备均在检测合格有效期限内，对即将到期的特种设备及时向特种设备检验检测机构提出定期检验要求，现场未使用未经定期检验或者检验不合格的特种 </w:t>
            </w:r>
          </w:p>
          <w:p w14:paraId="3084AA7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设备。</w:t>
            </w:r>
          </w:p>
        </w:tc>
        <w:tc>
          <w:tcPr>
            <w:tcW w:w="907" w:type="dxa"/>
            <w:shd w:val="clear" w:color="auto" w:fill="auto"/>
            <w:vAlign w:val="center"/>
          </w:tcPr>
          <w:p w14:paraId="3B039FDD">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07E3A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471437F">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20</w:t>
            </w:r>
          </w:p>
        </w:tc>
        <w:tc>
          <w:tcPr>
            <w:tcW w:w="2789" w:type="dxa"/>
            <w:shd w:val="clear" w:color="auto" w:fill="auto"/>
            <w:vAlign w:val="center"/>
          </w:tcPr>
          <w:p w14:paraId="3929B9A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锅炉、压力容器、电梯、起重机械、客运索道、大型游乐设施、场（厂）内专用机动车辆的作业人员及其相关管理人员（以下统称特种设备作业人 </w:t>
            </w:r>
          </w:p>
          <w:p w14:paraId="2CFCE3A0">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员），应当按照国家有关规定经特种设备安全监督管理部门考核合格，取 </w:t>
            </w:r>
          </w:p>
          <w:p w14:paraId="73D6853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得国家统一格式的特种作业人员证书，方可从事相应的作业或者管理工 </w:t>
            </w:r>
          </w:p>
          <w:p w14:paraId="6C2AF05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作。</w:t>
            </w:r>
          </w:p>
        </w:tc>
        <w:tc>
          <w:tcPr>
            <w:tcW w:w="2376" w:type="dxa"/>
            <w:shd w:val="clear" w:color="auto" w:fill="auto"/>
            <w:vAlign w:val="center"/>
          </w:tcPr>
          <w:p w14:paraId="7555AC49">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《特种设备安全监察条例》 </w:t>
            </w:r>
          </w:p>
          <w:p w14:paraId="6522799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第 38 条</w:t>
            </w:r>
          </w:p>
        </w:tc>
        <w:tc>
          <w:tcPr>
            <w:tcW w:w="2575" w:type="dxa"/>
            <w:shd w:val="clear" w:color="auto" w:fill="auto"/>
            <w:vAlign w:val="center"/>
          </w:tcPr>
          <w:p w14:paraId="2523F4E5">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该企业特种设备作业人员均持证上岗，证书在有效期内。</w:t>
            </w:r>
          </w:p>
        </w:tc>
        <w:tc>
          <w:tcPr>
            <w:tcW w:w="907" w:type="dxa"/>
            <w:shd w:val="clear" w:color="auto" w:fill="auto"/>
            <w:vAlign w:val="center"/>
          </w:tcPr>
          <w:p w14:paraId="294A8148">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lang w:val="en-US" w:eastAsia="zh-CN"/>
              </w:rPr>
              <w:t>符合</w:t>
            </w:r>
          </w:p>
        </w:tc>
      </w:tr>
      <w:tr w14:paraId="6D983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01" w:type="dxa"/>
            <w:gridSpan w:val="5"/>
            <w:vAlign w:val="center"/>
          </w:tcPr>
          <w:p w14:paraId="7CA5A15E">
            <w:pPr>
              <w:keepNext w:val="0"/>
              <w:keepLines w:val="0"/>
              <w:widowControl/>
              <w:suppressLineNumbers w:val="0"/>
              <w:jc w:val="center"/>
              <w:rPr>
                <w:rFonts w:hint="eastAsia" w:ascii="宋体" w:hAnsi="宋体" w:eastAsia="宋体" w:cs="宋体"/>
                <w:b/>
                <w:bCs/>
                <w:color w:val="auto"/>
                <w:sz w:val="24"/>
                <w:szCs w:val="24"/>
                <w:lang w:val="en-US" w:eastAsia="zh-CN"/>
              </w:rPr>
            </w:pPr>
            <w:r>
              <w:rPr>
                <w:rFonts w:hint="eastAsia" w:ascii="宋体" w:hAnsi="宋体" w:eastAsia="宋体" w:cs="宋体"/>
                <w:b/>
                <w:bCs/>
                <w:color w:val="000000"/>
                <w:kern w:val="0"/>
                <w:sz w:val="24"/>
                <w:szCs w:val="24"/>
                <w:lang w:val="en-US" w:eastAsia="zh-CN" w:bidi="ar"/>
              </w:rPr>
              <w:t>其他方面安全管理</w:t>
            </w:r>
          </w:p>
        </w:tc>
      </w:tr>
      <w:tr w14:paraId="5879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B83E50C">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21</w:t>
            </w:r>
          </w:p>
        </w:tc>
        <w:tc>
          <w:tcPr>
            <w:tcW w:w="2789" w:type="dxa"/>
            <w:shd w:val="clear" w:color="auto" w:fill="auto"/>
            <w:vAlign w:val="center"/>
          </w:tcPr>
          <w:p w14:paraId="4EEED43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生产经营单位应当安排用于配备劳动防护用品、进行安全生产培训的经费。</w:t>
            </w:r>
          </w:p>
        </w:tc>
        <w:tc>
          <w:tcPr>
            <w:tcW w:w="2376" w:type="dxa"/>
            <w:shd w:val="clear" w:color="auto" w:fill="auto"/>
            <w:vAlign w:val="center"/>
          </w:tcPr>
          <w:p w14:paraId="2E65EC1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《中华人民共和国安全生产法》（主席令第 88 号）第 47 条</w:t>
            </w:r>
          </w:p>
        </w:tc>
        <w:tc>
          <w:tcPr>
            <w:tcW w:w="2575" w:type="dxa"/>
            <w:shd w:val="clear" w:color="auto" w:fill="auto"/>
            <w:vAlign w:val="center"/>
          </w:tcPr>
          <w:p w14:paraId="7C89ACC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有相应的经费投入。</w:t>
            </w:r>
          </w:p>
        </w:tc>
        <w:tc>
          <w:tcPr>
            <w:tcW w:w="907" w:type="dxa"/>
            <w:shd w:val="clear" w:color="auto" w:fill="auto"/>
            <w:vAlign w:val="center"/>
          </w:tcPr>
          <w:p w14:paraId="328EC956">
            <w:pPr>
              <w:autoSpaceDE w:val="0"/>
              <w:autoSpaceDN w:val="0"/>
              <w:adjustRightInd w:val="0"/>
              <w:snapToGrid w:val="0"/>
              <w:jc w:val="center"/>
              <w:rPr>
                <w:rFonts w:hint="default"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r w14:paraId="2B6CA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2DA655A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22</w:t>
            </w:r>
          </w:p>
        </w:tc>
        <w:tc>
          <w:tcPr>
            <w:tcW w:w="2789" w:type="dxa"/>
            <w:shd w:val="clear" w:color="auto" w:fill="auto"/>
            <w:vAlign w:val="center"/>
          </w:tcPr>
          <w:p w14:paraId="79F506D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生产经营单位必须为从业人员提供符合国家标准或者行业标准的劳动防护用品，并监督、教育从业人员按照使用规则佩戴、使用。</w:t>
            </w:r>
          </w:p>
        </w:tc>
        <w:tc>
          <w:tcPr>
            <w:tcW w:w="2376" w:type="dxa"/>
            <w:shd w:val="clear" w:color="auto" w:fill="auto"/>
            <w:vAlign w:val="center"/>
          </w:tcPr>
          <w:p w14:paraId="049BDD3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《中华人民共和国安全生产法》（主席令第 88 号）第 45 条</w:t>
            </w:r>
          </w:p>
        </w:tc>
        <w:tc>
          <w:tcPr>
            <w:tcW w:w="2575" w:type="dxa"/>
            <w:shd w:val="clear" w:color="auto" w:fill="auto"/>
            <w:vAlign w:val="center"/>
          </w:tcPr>
          <w:p w14:paraId="6CCB9E3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建立了劳动防护用品发放管理制度，并为从业人员配备了符合要求的个体防护用品。</w:t>
            </w:r>
          </w:p>
        </w:tc>
        <w:tc>
          <w:tcPr>
            <w:tcW w:w="907" w:type="dxa"/>
            <w:shd w:val="clear" w:color="auto" w:fill="auto"/>
            <w:vAlign w:val="center"/>
          </w:tcPr>
          <w:p w14:paraId="1FC5D411">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r w14:paraId="1EC9B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383FFACE">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23</w:t>
            </w:r>
          </w:p>
        </w:tc>
        <w:tc>
          <w:tcPr>
            <w:tcW w:w="2789" w:type="dxa"/>
            <w:shd w:val="clear" w:color="auto" w:fill="auto"/>
            <w:vAlign w:val="center"/>
          </w:tcPr>
          <w:p w14:paraId="4B5F824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生产经营单位必须依法参加工伤保险，为从业人员缴纳保险费。</w:t>
            </w:r>
          </w:p>
        </w:tc>
        <w:tc>
          <w:tcPr>
            <w:tcW w:w="2376" w:type="dxa"/>
            <w:shd w:val="clear" w:color="auto" w:fill="auto"/>
            <w:vAlign w:val="center"/>
          </w:tcPr>
          <w:p w14:paraId="71D0F110">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《中华人民共和国安全生产法》（主席令第 88 号）第 51 条</w:t>
            </w:r>
          </w:p>
        </w:tc>
        <w:tc>
          <w:tcPr>
            <w:tcW w:w="2575" w:type="dxa"/>
            <w:shd w:val="clear" w:color="auto" w:fill="auto"/>
            <w:vAlign w:val="center"/>
          </w:tcPr>
          <w:p w14:paraId="14895AF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购买了工伤保险。</w:t>
            </w:r>
          </w:p>
        </w:tc>
        <w:tc>
          <w:tcPr>
            <w:tcW w:w="907" w:type="dxa"/>
            <w:shd w:val="clear" w:color="auto" w:fill="auto"/>
            <w:vAlign w:val="center"/>
          </w:tcPr>
          <w:p w14:paraId="095BD4AC">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r w14:paraId="4248B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6D5F0226">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24</w:t>
            </w:r>
          </w:p>
        </w:tc>
        <w:tc>
          <w:tcPr>
            <w:tcW w:w="2789" w:type="dxa"/>
            <w:shd w:val="clear" w:color="auto" w:fill="auto"/>
            <w:vAlign w:val="center"/>
          </w:tcPr>
          <w:p w14:paraId="75B430C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生产经营单位必须对安全设备进行经常性维护、保养，并定期检测，保证 </w:t>
            </w:r>
          </w:p>
          <w:p w14:paraId="32201EB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正常运转。维护、保养、检测应当作好记录，并由有关人员签字。</w:t>
            </w:r>
          </w:p>
        </w:tc>
        <w:tc>
          <w:tcPr>
            <w:tcW w:w="2376" w:type="dxa"/>
            <w:shd w:val="clear" w:color="auto" w:fill="auto"/>
            <w:vAlign w:val="center"/>
          </w:tcPr>
          <w:p w14:paraId="5E25D39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《中华人民共和国安全生产法》（主席令第 88 号）第 36 条</w:t>
            </w:r>
          </w:p>
        </w:tc>
        <w:tc>
          <w:tcPr>
            <w:tcW w:w="2575" w:type="dxa"/>
            <w:shd w:val="clear" w:color="auto" w:fill="auto"/>
            <w:vAlign w:val="center"/>
          </w:tcPr>
          <w:p w14:paraId="68EE4DC8">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能做到对安全设备进行经常性维护、保养。</w:t>
            </w:r>
          </w:p>
        </w:tc>
        <w:tc>
          <w:tcPr>
            <w:tcW w:w="907" w:type="dxa"/>
            <w:shd w:val="clear" w:color="auto" w:fill="auto"/>
            <w:vAlign w:val="center"/>
          </w:tcPr>
          <w:p w14:paraId="3B518906">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r w14:paraId="489DB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4" w:type="dxa"/>
            <w:vAlign w:val="center"/>
          </w:tcPr>
          <w:p w14:paraId="7EB9AB1B">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25</w:t>
            </w:r>
          </w:p>
        </w:tc>
        <w:tc>
          <w:tcPr>
            <w:tcW w:w="2789" w:type="dxa"/>
            <w:shd w:val="clear" w:color="auto" w:fill="auto"/>
            <w:vAlign w:val="center"/>
          </w:tcPr>
          <w:p w14:paraId="0EF8F86F">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生产经营单位应建立健全从业人员安全培训档案，详细、准确记录培训考核情况。</w:t>
            </w:r>
          </w:p>
        </w:tc>
        <w:tc>
          <w:tcPr>
            <w:tcW w:w="2376" w:type="dxa"/>
            <w:shd w:val="clear" w:color="auto" w:fill="auto"/>
            <w:vAlign w:val="center"/>
          </w:tcPr>
          <w:p w14:paraId="258423EE">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《生产经营单位安全培训规定》（国家安监总局令第 3 号）第二十四条及《国家安全监管总局关于修改〈生产经营单位安全培训规定〉等11 件规章的决定》（国 </w:t>
            </w:r>
          </w:p>
          <w:p w14:paraId="1F65F23D">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家安全生产监督管理总局令第 63 号）</w:t>
            </w:r>
          </w:p>
        </w:tc>
        <w:tc>
          <w:tcPr>
            <w:tcW w:w="2575" w:type="dxa"/>
            <w:shd w:val="clear" w:color="auto" w:fill="auto"/>
            <w:vAlign w:val="center"/>
          </w:tcPr>
          <w:p w14:paraId="31EAFC84">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已建立了从业人员安全培训档案。</w:t>
            </w:r>
          </w:p>
        </w:tc>
        <w:tc>
          <w:tcPr>
            <w:tcW w:w="907" w:type="dxa"/>
            <w:shd w:val="clear" w:color="auto" w:fill="auto"/>
            <w:vAlign w:val="center"/>
          </w:tcPr>
          <w:p w14:paraId="25571D76">
            <w:pPr>
              <w:autoSpaceDE w:val="0"/>
              <w:autoSpaceDN w:val="0"/>
              <w:adjustRightInd w:val="0"/>
              <w:snapToGrid w:val="0"/>
              <w:jc w:val="center"/>
              <w:rPr>
                <w:rFonts w:hint="eastAsia" w:ascii="宋体" w:hAnsi="宋体" w:eastAsia="宋体" w:cs="宋体"/>
                <w:color w:val="auto"/>
                <w:sz w:val="24"/>
                <w:szCs w:val="24"/>
                <w:lang w:val="en-US" w:eastAsia="zh-CN"/>
              </w:rPr>
            </w:pPr>
            <w:r>
              <w:rPr>
                <w:rFonts w:hint="eastAsia" w:hAnsi="宋体" w:cs="宋体"/>
                <w:color w:val="auto"/>
                <w:sz w:val="24"/>
                <w:szCs w:val="24"/>
                <w:lang w:val="en-US" w:eastAsia="zh-CN"/>
              </w:rPr>
              <w:t>符合</w:t>
            </w:r>
          </w:p>
        </w:tc>
      </w:tr>
    </w:tbl>
    <w:p w14:paraId="4AB598AE">
      <w:pPr>
        <w:keepNext w:val="0"/>
        <w:keepLines w:val="0"/>
        <w:pageBreakBefore w:val="0"/>
        <w:widowControl/>
        <w:suppressLineNumbers w:val="0"/>
        <w:kinsoku/>
        <w:wordWrap/>
        <w:overflowPunct/>
        <w:topLinePunct w:val="0"/>
        <w:autoSpaceDE/>
        <w:autoSpaceDN/>
        <w:bidi w:val="0"/>
        <w:adjustRightInd/>
        <w:snapToGrid/>
        <w:jc w:val="left"/>
        <w:textAlignment w:val="auto"/>
        <w:outlineLvl w:val="1"/>
        <w:rPr>
          <w:rFonts w:hint="eastAsia" w:ascii="宋体" w:hAnsi="宋体" w:eastAsia="宋体" w:cs="宋体"/>
          <w:b/>
          <w:bCs/>
          <w:sz w:val="30"/>
          <w:szCs w:val="30"/>
        </w:rPr>
      </w:pPr>
      <w:bookmarkStart w:id="227" w:name="_Toc25169"/>
      <w:bookmarkStart w:id="228" w:name="_Toc18875"/>
      <w:r>
        <w:rPr>
          <w:rFonts w:hint="eastAsia" w:ascii="宋体" w:hAnsi="宋体" w:eastAsia="宋体" w:cs="宋体"/>
          <w:b/>
          <w:bCs/>
          <w:color w:val="000000"/>
          <w:kern w:val="0"/>
          <w:sz w:val="30"/>
          <w:szCs w:val="30"/>
          <w:lang w:val="en-US" w:eastAsia="zh-CN" w:bidi="ar"/>
        </w:rPr>
        <w:t>5.6重大事故隐患检查单元</w:t>
      </w:r>
      <w:bookmarkEnd w:id="227"/>
      <w:bookmarkEnd w:id="228"/>
      <w:r>
        <w:rPr>
          <w:rFonts w:hint="eastAsia" w:ascii="宋体" w:hAnsi="宋体" w:eastAsia="宋体" w:cs="宋体"/>
          <w:b/>
          <w:bCs/>
          <w:color w:val="000000"/>
          <w:kern w:val="0"/>
          <w:sz w:val="30"/>
          <w:szCs w:val="30"/>
          <w:lang w:val="en-US" w:eastAsia="zh-CN" w:bidi="ar"/>
        </w:rPr>
        <w:t xml:space="preserve"> </w:t>
      </w:r>
    </w:p>
    <w:p w14:paraId="25426B4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根据《工贸企业重大事故隐患判定标准》（中华人民共和国应急管理部令第 10 号）及《工贸企业重大事故隐患判定标准》解读等文件，并结合现场踏勘情况，评价组对本项目是否涉及工贸行业重大生产安全事故隐患进行了符合性、合理性安全检查。检查结果见下表所示。</w:t>
      </w:r>
    </w:p>
    <w:p w14:paraId="02B33864">
      <w:pPr>
        <w:keepNext w:val="0"/>
        <w:keepLines w:val="0"/>
        <w:widowControl/>
        <w:suppressLineNumbers w:val="0"/>
        <w:jc w:val="both"/>
        <w:rPr>
          <w:rFonts w:hint="eastAsia" w:ascii="宋体" w:hAnsi="宋体" w:eastAsia="宋体" w:cs="宋体"/>
          <w:b/>
          <w:bCs/>
          <w:color w:val="000000"/>
          <w:kern w:val="0"/>
          <w:sz w:val="24"/>
          <w:szCs w:val="24"/>
          <w:lang w:val="en-US" w:eastAsia="zh-CN" w:bidi="ar"/>
        </w:rPr>
      </w:pPr>
    </w:p>
    <w:p w14:paraId="450261C6">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p w14:paraId="7DAB4E33">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p w14:paraId="12193EFC">
      <w:pPr>
        <w:keepNext w:val="0"/>
        <w:keepLines w:val="0"/>
        <w:widowControl/>
        <w:suppressLineNumbers w:val="0"/>
        <w:jc w:val="center"/>
        <w:rPr>
          <w:rFonts w:hint="eastAsia" w:ascii="宋体" w:hAnsi="宋体" w:eastAsia="宋体" w:cs="宋体"/>
        </w:rPr>
      </w:pPr>
      <w:r>
        <w:rPr>
          <w:rFonts w:hint="eastAsia" w:ascii="宋体" w:hAnsi="宋体" w:eastAsia="宋体" w:cs="宋体"/>
          <w:b/>
          <w:bCs/>
          <w:color w:val="000000"/>
          <w:kern w:val="0"/>
          <w:sz w:val="24"/>
          <w:szCs w:val="24"/>
          <w:lang w:val="en-US" w:eastAsia="zh-CN" w:bidi="ar"/>
        </w:rPr>
        <w:t>表 5-14 重大生产安全事故隐患判定标准检查表</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2"/>
        <w:gridCol w:w="1842"/>
        <w:gridCol w:w="2561"/>
        <w:gridCol w:w="1582"/>
        <w:gridCol w:w="1386"/>
        <w:gridCol w:w="1386"/>
      </w:tblGrid>
      <w:tr w14:paraId="1E089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004337BC">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序号</w:t>
            </w:r>
          </w:p>
        </w:tc>
        <w:tc>
          <w:tcPr>
            <w:tcW w:w="1842" w:type="dxa"/>
            <w:vAlign w:val="center"/>
          </w:tcPr>
          <w:p w14:paraId="50CCAF5D">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lang w:val="en-US" w:eastAsia="zh-CN" w:bidi="ar"/>
              </w:rPr>
              <w:t>事故隐患分类</w:t>
            </w:r>
          </w:p>
        </w:tc>
        <w:tc>
          <w:tcPr>
            <w:tcW w:w="2561" w:type="dxa"/>
            <w:vAlign w:val="center"/>
          </w:tcPr>
          <w:p w14:paraId="42CCDCC3">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lang w:val="en-US" w:eastAsia="zh-CN" w:bidi="ar"/>
              </w:rPr>
              <w:t>重大生产安全事故隐患判定标准</w:t>
            </w:r>
          </w:p>
        </w:tc>
        <w:tc>
          <w:tcPr>
            <w:tcW w:w="1582" w:type="dxa"/>
            <w:vAlign w:val="center"/>
          </w:tcPr>
          <w:p w14:paraId="60C0A7D4">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检查依据</w:t>
            </w:r>
          </w:p>
        </w:tc>
        <w:tc>
          <w:tcPr>
            <w:tcW w:w="1386" w:type="dxa"/>
            <w:vAlign w:val="center"/>
          </w:tcPr>
          <w:p w14:paraId="2510E680">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检查情况</w:t>
            </w:r>
          </w:p>
        </w:tc>
        <w:tc>
          <w:tcPr>
            <w:tcW w:w="1386" w:type="dxa"/>
            <w:vAlign w:val="center"/>
          </w:tcPr>
          <w:p w14:paraId="638B072E">
            <w:pPr>
              <w:keepNext w:val="0"/>
              <w:keepLines w:val="0"/>
              <w:widowControl/>
              <w:suppressLineNumbers w:val="0"/>
              <w:jc w:val="center"/>
              <w:rPr>
                <w:rFonts w:hint="default" w:ascii="宋体" w:hAnsi="宋体" w:eastAsia="宋体" w:cs="宋体"/>
                <w:b/>
                <w:bCs/>
                <w:color w:val="000000"/>
                <w:kern w:val="0"/>
                <w:sz w:val="24"/>
                <w:szCs w:val="24"/>
                <w:vertAlign w:val="baseline"/>
                <w:lang w:val="en-US" w:eastAsia="zh-CN" w:bidi="ar"/>
              </w:rPr>
            </w:pPr>
            <w:r>
              <w:rPr>
                <w:rFonts w:hint="eastAsia" w:ascii="宋体" w:hAnsi="宋体" w:eastAsia="宋体" w:cs="宋体"/>
                <w:b/>
                <w:bCs/>
                <w:color w:val="000000"/>
                <w:kern w:val="0"/>
                <w:sz w:val="24"/>
                <w:szCs w:val="24"/>
                <w:vertAlign w:val="baseline"/>
                <w:lang w:val="en-US" w:eastAsia="zh-CN" w:bidi="ar"/>
              </w:rPr>
              <w:t>检查结果</w:t>
            </w:r>
          </w:p>
        </w:tc>
      </w:tr>
      <w:tr w14:paraId="3DBF8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642" w:type="dxa"/>
            <w:vAlign w:val="center"/>
          </w:tcPr>
          <w:p w14:paraId="35E27718">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1</w:t>
            </w:r>
          </w:p>
        </w:tc>
        <w:tc>
          <w:tcPr>
            <w:tcW w:w="1842" w:type="dxa"/>
            <w:vMerge w:val="restart"/>
            <w:vAlign w:val="center"/>
          </w:tcPr>
          <w:p w14:paraId="7295F5B6">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工贸企业有下列情形之一的，应当判定为重大事故隐患：</w:t>
            </w:r>
          </w:p>
        </w:tc>
        <w:tc>
          <w:tcPr>
            <w:tcW w:w="2561" w:type="dxa"/>
            <w:vAlign w:val="center"/>
          </w:tcPr>
          <w:p w14:paraId="1C772AD3">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（1）未对承包单位、承租单位的安全生产工作统一协调、管理，或者未定期进行安全检查的。</w:t>
            </w:r>
          </w:p>
        </w:tc>
        <w:tc>
          <w:tcPr>
            <w:tcW w:w="1582" w:type="dxa"/>
            <w:vMerge w:val="restart"/>
            <w:vAlign w:val="center"/>
          </w:tcPr>
          <w:p w14:paraId="0B51396B">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《工贸企业重大事故隐患判定标准》（中华人民共和国应急管理部令第 </w:t>
            </w:r>
          </w:p>
          <w:p w14:paraId="1B6DD77B">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10 号）第三条</w:t>
            </w:r>
          </w:p>
        </w:tc>
        <w:tc>
          <w:tcPr>
            <w:tcW w:w="1386" w:type="dxa"/>
            <w:vAlign w:val="center"/>
          </w:tcPr>
          <w:p w14:paraId="33D4DEC6">
            <w:pPr>
              <w:keepNext w:val="0"/>
              <w:keepLines w:val="0"/>
              <w:widowControl/>
              <w:suppressLineNumbers w:val="0"/>
              <w:jc w:val="both"/>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企业对承包单位安全生产工作统一协调、管理，定期进行了安全检查。</w:t>
            </w:r>
          </w:p>
        </w:tc>
        <w:tc>
          <w:tcPr>
            <w:tcW w:w="1386" w:type="dxa"/>
            <w:vAlign w:val="center"/>
          </w:tcPr>
          <w:p w14:paraId="6F0CDC2C">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10C0B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642" w:type="dxa"/>
            <w:vAlign w:val="center"/>
          </w:tcPr>
          <w:p w14:paraId="7B8A9698">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2</w:t>
            </w:r>
          </w:p>
        </w:tc>
        <w:tc>
          <w:tcPr>
            <w:tcW w:w="1842" w:type="dxa"/>
            <w:vMerge w:val="continue"/>
            <w:vAlign w:val="center"/>
          </w:tcPr>
          <w:p w14:paraId="3247C567">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3F2CF23A">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（2）特种作业人员未按照规定经专门的安全作业培训并取得相应资格，上岗作业的。</w:t>
            </w:r>
          </w:p>
        </w:tc>
        <w:tc>
          <w:tcPr>
            <w:tcW w:w="1582" w:type="dxa"/>
            <w:vMerge w:val="continue"/>
            <w:vAlign w:val="center"/>
          </w:tcPr>
          <w:p w14:paraId="4F758E09">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5622AE3C">
            <w:pPr>
              <w:keepNext w:val="0"/>
              <w:keepLines w:val="0"/>
              <w:widowControl/>
              <w:suppressLineNumbers w:val="0"/>
              <w:jc w:val="both"/>
              <w:rPr>
                <w:rFonts w:hint="eastAsia" w:ascii="宋体" w:hAnsi="宋体" w:eastAsia="宋体" w:cs="宋体"/>
                <w:b/>
                <w:bCs/>
                <w:color w:val="000000" w:themeColor="text1"/>
                <w:kern w:val="0"/>
                <w:sz w:val="24"/>
                <w:szCs w:val="24"/>
                <w:shd w:val="clear" w:color="auto" w:fill="auto"/>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电工、起重工、等均已按要求取得特种作业资格证，且在有效期内。</w:t>
            </w:r>
          </w:p>
        </w:tc>
        <w:tc>
          <w:tcPr>
            <w:tcW w:w="1386" w:type="dxa"/>
            <w:vAlign w:val="center"/>
          </w:tcPr>
          <w:p w14:paraId="7DCEED15">
            <w:pPr>
              <w:keepNext w:val="0"/>
              <w:keepLines w:val="0"/>
              <w:widowControl/>
              <w:suppressLineNumbers w:val="0"/>
              <w:jc w:val="left"/>
              <w:rPr>
                <w:rFonts w:hint="eastAsia" w:ascii="宋体" w:hAnsi="宋体" w:eastAsia="宋体" w:cs="宋体"/>
                <w:b/>
                <w:bCs/>
                <w:color w:val="000000" w:themeColor="text1"/>
                <w:kern w:val="0"/>
                <w:sz w:val="24"/>
                <w:szCs w:val="24"/>
                <w:shd w:val="clear" w:color="auto" w:fill="auto"/>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不存在重大生产安全事故隐患</w:t>
            </w:r>
          </w:p>
        </w:tc>
      </w:tr>
      <w:tr w14:paraId="24080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0EBD70DA">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3</w:t>
            </w:r>
          </w:p>
        </w:tc>
        <w:tc>
          <w:tcPr>
            <w:tcW w:w="1842" w:type="dxa"/>
            <w:vMerge w:val="continue"/>
            <w:vAlign w:val="center"/>
          </w:tcPr>
          <w:p w14:paraId="5227ACDF">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6FD5E5DC">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（3）金属冶炼企业主要负责人、安全生产管理人员未按照规定经考核合格的。</w:t>
            </w:r>
          </w:p>
        </w:tc>
        <w:tc>
          <w:tcPr>
            <w:tcW w:w="1582" w:type="dxa"/>
            <w:vMerge w:val="continue"/>
            <w:vAlign w:val="center"/>
          </w:tcPr>
          <w:p w14:paraId="180121D4">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62F163F8">
            <w:pPr>
              <w:keepNext w:val="0"/>
              <w:keepLines w:val="0"/>
              <w:widowControl/>
              <w:suppressLineNumbers w:val="0"/>
              <w:jc w:val="both"/>
              <w:rPr>
                <w:rFonts w:hint="eastAsia" w:ascii="宋体" w:hAnsi="宋体" w:eastAsia="宋体" w:cs="宋体"/>
                <w:color w:val="000000" w:themeColor="text1"/>
                <w:sz w:val="24"/>
                <w:szCs w:val="24"/>
                <w:shd w:val="clear" w:color="auto" w:fill="auto"/>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 xml:space="preserve">本项目不属于金属 </w:t>
            </w:r>
          </w:p>
          <w:p w14:paraId="718D8458">
            <w:pPr>
              <w:keepNext w:val="0"/>
              <w:keepLines w:val="0"/>
              <w:widowControl/>
              <w:suppressLineNumbers w:val="0"/>
              <w:jc w:val="both"/>
              <w:rPr>
                <w:rFonts w:hint="eastAsia" w:ascii="宋体" w:hAnsi="宋体" w:eastAsia="宋体" w:cs="宋体"/>
                <w:b/>
                <w:bCs/>
                <w:color w:val="000000" w:themeColor="text1"/>
                <w:kern w:val="0"/>
                <w:sz w:val="24"/>
                <w:szCs w:val="24"/>
                <w:shd w:val="clear" w:color="auto" w:fill="auto"/>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冶炼企业，主要负责人、安全管理人员已取得安全合格证。</w:t>
            </w:r>
          </w:p>
        </w:tc>
        <w:tc>
          <w:tcPr>
            <w:tcW w:w="1386" w:type="dxa"/>
            <w:vAlign w:val="center"/>
          </w:tcPr>
          <w:p w14:paraId="27F8D192">
            <w:pPr>
              <w:keepNext w:val="0"/>
              <w:keepLines w:val="0"/>
              <w:widowControl/>
              <w:suppressLineNumbers w:val="0"/>
              <w:jc w:val="left"/>
              <w:rPr>
                <w:rFonts w:hint="eastAsia" w:ascii="宋体" w:hAnsi="宋体" w:eastAsia="宋体" w:cs="宋体"/>
                <w:b/>
                <w:bCs/>
                <w:color w:val="000000" w:themeColor="text1"/>
                <w:kern w:val="0"/>
                <w:sz w:val="24"/>
                <w:szCs w:val="24"/>
                <w:shd w:val="clear" w:color="auto" w:fill="auto"/>
                <w:vertAlign w:val="baseline"/>
                <w:lang w:val="en-US" w:eastAsia="zh-CN" w:bidi="ar"/>
                <w14:textFill>
                  <w14:solidFill>
                    <w14:schemeClr w14:val="tx1"/>
                  </w14:solidFill>
                </w14:textFill>
              </w:rPr>
            </w:pPr>
            <w:r>
              <w:rPr>
                <w:rFonts w:hint="eastAsia" w:ascii="宋体" w:hAnsi="宋体" w:eastAsia="宋体" w:cs="宋体"/>
                <w:color w:val="000000" w:themeColor="text1"/>
                <w:kern w:val="0"/>
                <w:sz w:val="24"/>
                <w:szCs w:val="24"/>
                <w:shd w:val="clear" w:color="auto" w:fill="auto"/>
                <w:lang w:val="en-US" w:eastAsia="zh-CN" w:bidi="ar"/>
                <w14:textFill>
                  <w14:solidFill>
                    <w14:schemeClr w14:val="tx1"/>
                  </w14:solidFill>
                </w14:textFill>
              </w:rPr>
              <w:t>不存在重大生产安全事故隐患</w:t>
            </w:r>
          </w:p>
        </w:tc>
      </w:tr>
      <w:tr w14:paraId="6E63F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6374ED56">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4</w:t>
            </w:r>
          </w:p>
        </w:tc>
        <w:tc>
          <w:tcPr>
            <w:tcW w:w="1842" w:type="dxa"/>
            <w:vMerge w:val="restart"/>
            <w:vAlign w:val="center"/>
          </w:tcPr>
          <w:p w14:paraId="5F302250">
            <w:pPr>
              <w:keepNext w:val="0"/>
              <w:keepLines w:val="0"/>
              <w:widowControl/>
              <w:suppressLineNumbers w:val="0"/>
              <w:jc w:val="left"/>
              <w:rPr>
                <w:rFonts w:hint="eastAsia" w:ascii="宋体" w:hAnsi="宋体" w:eastAsia="宋体" w:cs="宋体"/>
                <w:b/>
                <w:bCs/>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机械企业有下列情形之一的，应当判定为重大事故隐患：</w:t>
            </w:r>
          </w:p>
        </w:tc>
        <w:tc>
          <w:tcPr>
            <w:tcW w:w="2561" w:type="dxa"/>
            <w:vAlign w:val="center"/>
          </w:tcPr>
          <w:p w14:paraId="14589E2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（1）会议室、活动室、休息室、更衣室、交接班室等 5 类人员聚集场所设置在熔融金属吊运跨或者浇注跨的地坪区域内的。</w:t>
            </w:r>
          </w:p>
        </w:tc>
        <w:tc>
          <w:tcPr>
            <w:tcW w:w="1582" w:type="dxa"/>
            <w:vMerge w:val="restart"/>
            <w:vAlign w:val="center"/>
          </w:tcPr>
          <w:p w14:paraId="262794D5">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《工贸企业重大事故隐患判定标准》（中华人民共和国应急管理部令第 </w:t>
            </w:r>
          </w:p>
          <w:p w14:paraId="671BC86F">
            <w:pPr>
              <w:keepNext w:val="0"/>
              <w:keepLines w:val="0"/>
              <w:widowControl/>
              <w:suppressLineNumbers w:val="0"/>
              <w:jc w:val="left"/>
              <w:rPr>
                <w:rFonts w:hint="eastAsia" w:ascii="宋体" w:hAnsi="宋体" w:eastAsia="宋体" w:cs="宋体"/>
                <w:b/>
                <w:bCs/>
                <w:color w:val="000000"/>
                <w:kern w:val="0"/>
                <w:sz w:val="24"/>
                <w:szCs w:val="24"/>
                <w:vertAlign w:val="baseline"/>
                <w:lang w:val="en-US" w:eastAsia="zh-CN" w:bidi="ar"/>
              </w:rPr>
            </w:pPr>
            <w:r>
              <w:rPr>
                <w:rFonts w:hint="eastAsia" w:ascii="宋体" w:hAnsi="宋体" w:eastAsia="宋体" w:cs="宋体"/>
                <w:color w:val="000000"/>
                <w:kern w:val="0"/>
                <w:sz w:val="24"/>
                <w:szCs w:val="24"/>
                <w:lang w:val="en-US" w:eastAsia="zh-CN" w:bidi="ar"/>
              </w:rPr>
              <w:t>10 号）第七条</w:t>
            </w:r>
          </w:p>
        </w:tc>
        <w:tc>
          <w:tcPr>
            <w:tcW w:w="1386" w:type="dxa"/>
            <w:vAlign w:val="center"/>
          </w:tcPr>
          <w:p w14:paraId="0704D448">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459335ED">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0C7F2BB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1A407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4864DAE1">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5</w:t>
            </w:r>
          </w:p>
        </w:tc>
        <w:tc>
          <w:tcPr>
            <w:tcW w:w="1842" w:type="dxa"/>
            <w:vMerge w:val="continue"/>
            <w:vAlign w:val="center"/>
          </w:tcPr>
          <w:p w14:paraId="5AA2AB1D">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3275B6A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（2）铸造用熔炼炉、精炼炉、保温炉未设置紧急排放和应急储存设施的。</w:t>
            </w:r>
          </w:p>
        </w:tc>
        <w:tc>
          <w:tcPr>
            <w:tcW w:w="1582" w:type="dxa"/>
            <w:vMerge w:val="continue"/>
            <w:vAlign w:val="center"/>
          </w:tcPr>
          <w:p w14:paraId="3E47501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603959F7">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300EF942">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2A64D95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78C32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7A29C6A2">
            <w:pPr>
              <w:keepNext w:val="0"/>
              <w:keepLines w:val="0"/>
              <w:widowControl/>
              <w:suppressLineNumbers w:val="0"/>
              <w:jc w:val="center"/>
              <w:rPr>
                <w:rFonts w:hint="default" w:ascii="宋体" w:hAnsi="宋体" w:eastAsia="宋体" w:cs="宋体"/>
                <w:b w:val="0"/>
                <w:bCs w:val="0"/>
                <w:color w:val="000000"/>
                <w:kern w:val="0"/>
                <w:sz w:val="24"/>
                <w:szCs w:val="24"/>
                <w:vertAlign w:val="baseline"/>
                <w:lang w:val="en-US" w:eastAsia="zh-CN" w:bidi="ar"/>
              </w:rPr>
            </w:pPr>
            <w:r>
              <w:rPr>
                <w:rFonts w:hint="eastAsia" w:ascii="宋体" w:hAnsi="宋体" w:eastAsia="宋体" w:cs="宋体"/>
                <w:b w:val="0"/>
                <w:bCs w:val="0"/>
                <w:color w:val="000000"/>
                <w:kern w:val="0"/>
                <w:sz w:val="24"/>
                <w:szCs w:val="24"/>
                <w:vertAlign w:val="baseline"/>
                <w:lang w:val="en-US" w:eastAsia="zh-CN" w:bidi="ar"/>
              </w:rPr>
              <w:t>6</w:t>
            </w:r>
          </w:p>
        </w:tc>
        <w:tc>
          <w:tcPr>
            <w:tcW w:w="1842" w:type="dxa"/>
            <w:vMerge w:val="continue"/>
            <w:vAlign w:val="center"/>
          </w:tcPr>
          <w:p w14:paraId="6C24F931">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27B9742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（3）生产期间铸造用熔炼炉、精炼炉、保温炉的炉底、炉坑和事故坑，以及熔融金属泄漏、喷溅影响范围内的 </w:t>
            </w:r>
          </w:p>
          <w:p w14:paraId="6BA60F4D">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炉前平台、炉基区域、造型地坑、浇注作业坑和熔融金属转运通道等 8 类区域存在 </w:t>
            </w:r>
          </w:p>
          <w:p w14:paraId="4167E8E9">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积水的。</w:t>
            </w:r>
          </w:p>
        </w:tc>
        <w:tc>
          <w:tcPr>
            <w:tcW w:w="1582" w:type="dxa"/>
            <w:vMerge w:val="continue"/>
            <w:vAlign w:val="center"/>
          </w:tcPr>
          <w:p w14:paraId="2C074815">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3B134B95">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04FFD378">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547DD2FB">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0E499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541D3FEB">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p>
        </w:tc>
        <w:tc>
          <w:tcPr>
            <w:tcW w:w="1842" w:type="dxa"/>
            <w:vAlign w:val="center"/>
          </w:tcPr>
          <w:p w14:paraId="11E23992">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4E501142">
            <w:pPr>
              <w:keepNext w:val="0"/>
              <w:keepLines w:val="0"/>
              <w:widowControl/>
              <w:suppressLineNumbers w:val="0"/>
              <w:jc w:val="left"/>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（4）铸造用熔炼炉、精炼炉、压铸机、氧枪的冷却水系统未设置出水温度、进出水流 </w:t>
            </w:r>
          </w:p>
          <w:p w14:paraId="15DF4D81">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量差监测报警装置，或者监测报警装置未与熔融金属加热、输送控制系统联锁的。</w:t>
            </w:r>
          </w:p>
        </w:tc>
        <w:tc>
          <w:tcPr>
            <w:tcW w:w="1582" w:type="dxa"/>
            <w:vMerge w:val="continue"/>
            <w:vAlign w:val="center"/>
          </w:tcPr>
          <w:p w14:paraId="647073A2">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7FA34DCA">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3ADA2D50">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70FF264A">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18EDB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300D5D22">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p>
        </w:tc>
        <w:tc>
          <w:tcPr>
            <w:tcW w:w="1842" w:type="dxa"/>
            <w:vAlign w:val="center"/>
          </w:tcPr>
          <w:p w14:paraId="06D4D0EC">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2CBDED2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（5）使用煤气（天然气）的燃烧装置的燃气总管未设置管道压力监测报警装置，或者监测报警装置未与紧急自动切断装置联锁，或者燃烧装置未设置火焰监测和熄火保护系统的。</w:t>
            </w:r>
          </w:p>
        </w:tc>
        <w:tc>
          <w:tcPr>
            <w:tcW w:w="1582" w:type="dxa"/>
            <w:vMerge w:val="continue"/>
            <w:vAlign w:val="center"/>
          </w:tcPr>
          <w:p w14:paraId="41406E62">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5E85E753">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01317E94">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69414BF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3C522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20787217">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p>
        </w:tc>
        <w:tc>
          <w:tcPr>
            <w:tcW w:w="1842" w:type="dxa"/>
            <w:vAlign w:val="center"/>
          </w:tcPr>
          <w:p w14:paraId="5104B958">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205A8016">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（6）使用可燃性有机溶剂清洗设备设施、工装器具、地面时，未采取防止可燃气体在周边密闭或者半密闭空间内积聚措施的。</w:t>
            </w:r>
          </w:p>
        </w:tc>
        <w:tc>
          <w:tcPr>
            <w:tcW w:w="1582" w:type="dxa"/>
            <w:vMerge w:val="continue"/>
            <w:vAlign w:val="center"/>
          </w:tcPr>
          <w:p w14:paraId="55C905FC">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26E04F10">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070677F4">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2FC9EB27">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r w14:paraId="0813A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42" w:type="dxa"/>
            <w:vAlign w:val="center"/>
          </w:tcPr>
          <w:p w14:paraId="5720C56B">
            <w:pPr>
              <w:keepNext w:val="0"/>
              <w:keepLines w:val="0"/>
              <w:widowControl/>
              <w:suppressLineNumbers w:val="0"/>
              <w:jc w:val="center"/>
              <w:rPr>
                <w:rFonts w:hint="eastAsia" w:ascii="宋体" w:hAnsi="宋体" w:eastAsia="宋体" w:cs="宋体"/>
                <w:b w:val="0"/>
                <w:bCs w:val="0"/>
                <w:color w:val="000000"/>
                <w:kern w:val="0"/>
                <w:sz w:val="24"/>
                <w:szCs w:val="24"/>
                <w:vertAlign w:val="baseline"/>
                <w:lang w:val="en-US" w:eastAsia="zh-CN" w:bidi="ar"/>
              </w:rPr>
            </w:pPr>
          </w:p>
        </w:tc>
        <w:tc>
          <w:tcPr>
            <w:tcW w:w="1842" w:type="dxa"/>
            <w:vAlign w:val="center"/>
          </w:tcPr>
          <w:p w14:paraId="1D338D0C">
            <w:pPr>
              <w:keepNext w:val="0"/>
              <w:keepLines w:val="0"/>
              <w:widowControl/>
              <w:suppressLineNumbers w:val="0"/>
              <w:jc w:val="center"/>
              <w:rPr>
                <w:rFonts w:hint="eastAsia" w:ascii="宋体" w:hAnsi="宋体" w:eastAsia="宋体" w:cs="宋体"/>
                <w:b/>
                <w:bCs/>
                <w:color w:val="000000"/>
                <w:kern w:val="0"/>
                <w:sz w:val="24"/>
                <w:szCs w:val="24"/>
                <w:lang w:val="en-US" w:eastAsia="zh-CN" w:bidi="ar"/>
              </w:rPr>
            </w:pPr>
          </w:p>
        </w:tc>
        <w:tc>
          <w:tcPr>
            <w:tcW w:w="2561" w:type="dxa"/>
            <w:vAlign w:val="center"/>
          </w:tcPr>
          <w:p w14:paraId="1F405DBE">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（7）使用非水性漆的调漆间、喷漆室未设置固定式可燃气体浓度监测报警装置或者通风设施的。</w:t>
            </w:r>
          </w:p>
        </w:tc>
        <w:tc>
          <w:tcPr>
            <w:tcW w:w="1582" w:type="dxa"/>
            <w:vMerge w:val="continue"/>
            <w:vAlign w:val="center"/>
          </w:tcPr>
          <w:p w14:paraId="499E4FE3">
            <w:pPr>
              <w:keepNext w:val="0"/>
              <w:keepLines w:val="0"/>
              <w:widowControl/>
              <w:suppressLineNumbers w:val="0"/>
              <w:jc w:val="center"/>
              <w:rPr>
                <w:rFonts w:hint="eastAsia" w:ascii="宋体" w:hAnsi="宋体" w:eastAsia="宋体" w:cs="宋体"/>
                <w:b/>
                <w:bCs/>
                <w:color w:val="000000"/>
                <w:kern w:val="0"/>
                <w:sz w:val="24"/>
                <w:szCs w:val="24"/>
                <w:vertAlign w:val="baseline"/>
                <w:lang w:val="en-US" w:eastAsia="zh-CN" w:bidi="ar"/>
              </w:rPr>
            </w:pPr>
          </w:p>
        </w:tc>
        <w:tc>
          <w:tcPr>
            <w:tcW w:w="1386" w:type="dxa"/>
            <w:vAlign w:val="center"/>
          </w:tcPr>
          <w:p w14:paraId="364E2463">
            <w:pPr>
              <w:keepNext w:val="0"/>
              <w:keepLines w:val="0"/>
              <w:widowControl/>
              <w:suppressLineNumbers w:val="0"/>
              <w:jc w:val="center"/>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不涉及</w:t>
            </w:r>
          </w:p>
          <w:p w14:paraId="1934420F">
            <w:pPr>
              <w:keepNext w:val="0"/>
              <w:keepLines w:val="0"/>
              <w:widowControl/>
              <w:suppressLineNumbers w:val="0"/>
              <w:jc w:val="center"/>
              <w:rPr>
                <w:rFonts w:hint="eastAsia" w:ascii="宋体" w:hAnsi="宋体" w:eastAsia="宋体" w:cs="宋体"/>
                <w:color w:val="000000"/>
                <w:kern w:val="0"/>
                <w:sz w:val="24"/>
                <w:szCs w:val="24"/>
                <w:lang w:val="en-US" w:eastAsia="zh-CN" w:bidi="ar"/>
              </w:rPr>
            </w:pPr>
          </w:p>
        </w:tc>
        <w:tc>
          <w:tcPr>
            <w:tcW w:w="1386" w:type="dxa"/>
            <w:vAlign w:val="center"/>
          </w:tcPr>
          <w:p w14:paraId="3E95FD8C">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不存在重大生产安全事故隐患</w:t>
            </w:r>
          </w:p>
        </w:tc>
      </w:tr>
    </w:tbl>
    <w:p w14:paraId="51CA501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bookmarkStart w:id="229" w:name="_Toc16663"/>
      <w:bookmarkStart w:id="230" w:name="_Toc460593455"/>
      <w:bookmarkStart w:id="231" w:name="_Toc452363903"/>
      <w:bookmarkStart w:id="232" w:name="_Toc456799541"/>
      <w:bookmarkStart w:id="233" w:name="_Toc381975360"/>
      <w:r>
        <w:rPr>
          <w:rFonts w:hint="eastAsia" w:ascii="宋体" w:hAnsi="宋体" w:eastAsia="宋体" w:cs="宋体"/>
          <w:color w:val="000000"/>
          <w:kern w:val="0"/>
          <w:sz w:val="28"/>
          <w:szCs w:val="28"/>
          <w:lang w:val="en-US" w:eastAsia="zh-CN" w:bidi="ar"/>
        </w:rPr>
        <w:t xml:space="preserve">通过安全检查分析与企业整改，该企业安全管理现状符合《中华人民共 </w:t>
      </w:r>
    </w:p>
    <w:p w14:paraId="7B5BC97F">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和国安全生产法》、《云南省安全生产条例》和《生产安全事故应急预案管 </w:t>
      </w:r>
    </w:p>
    <w:p w14:paraId="6CB8806C">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理办法》等法律法规、标准规范的要求。本项目不存在《工贸企业重大事故 </w:t>
      </w:r>
    </w:p>
    <w:p w14:paraId="04187DB6">
      <w:pPr>
        <w:keepNext w:val="0"/>
        <w:keepLines w:val="0"/>
        <w:pageBreakBefore w:val="0"/>
        <w:widowControl/>
        <w:suppressLineNumbers w:val="0"/>
        <w:kinsoku/>
        <w:wordWrap/>
        <w:overflowPunct/>
        <w:topLinePunct w:val="0"/>
        <w:autoSpaceDE/>
        <w:autoSpaceDN/>
        <w:bidi w:val="0"/>
        <w:adjustRightInd/>
        <w:snapToGrid/>
        <w:spacing w:line="600" w:lineRule="exact"/>
        <w:ind w:left="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隐患判定标准》（中华人民共和国应急管理部令第 10 号）所列的重大生产安全事故隐患。</w:t>
      </w:r>
    </w:p>
    <w:p w14:paraId="7CF88B4C">
      <w:pPr>
        <w:keepNext/>
        <w:keepLines/>
        <w:pageBreakBefore w:val="0"/>
        <w:widowControl w:val="0"/>
        <w:kinsoku/>
        <w:wordWrap/>
        <w:overflowPunct/>
        <w:topLinePunct w:val="0"/>
        <w:autoSpaceDE/>
        <w:autoSpaceDN/>
        <w:bidi w:val="0"/>
        <w:adjustRightInd/>
        <w:snapToGrid w:val="0"/>
        <w:spacing w:before="0" w:after="0" w:line="600" w:lineRule="exact"/>
        <w:ind w:left="0" w:leftChars="0" w:firstLine="0" w:firstLineChars="0"/>
        <w:textAlignment w:val="auto"/>
        <w:outlineLvl w:val="9"/>
        <w:rPr>
          <w:rFonts w:hint="eastAsia" w:ascii="宋体" w:hAnsi="宋体" w:eastAsia="宋体" w:cs="宋体"/>
          <w:b/>
          <w:bCs/>
          <w:snapToGrid w:val="0"/>
          <w:color w:val="auto"/>
          <w:kern w:val="0"/>
          <w:sz w:val="28"/>
          <w:szCs w:val="28"/>
        </w:rPr>
      </w:pPr>
      <w:r>
        <w:rPr>
          <w:rFonts w:hint="eastAsia" w:ascii="宋体" w:hAnsi="宋体" w:eastAsia="宋体" w:cs="宋体"/>
          <w:b/>
          <w:bCs/>
          <w:snapToGrid w:val="0"/>
          <w:color w:val="auto"/>
          <w:kern w:val="0"/>
          <w:sz w:val="28"/>
          <w:szCs w:val="28"/>
        </w:rPr>
        <w:t>5.</w:t>
      </w:r>
      <w:r>
        <w:rPr>
          <w:rFonts w:hint="eastAsia" w:hAnsi="宋体" w:cs="宋体"/>
          <w:b/>
          <w:bCs/>
          <w:snapToGrid w:val="0"/>
          <w:color w:val="auto"/>
          <w:kern w:val="0"/>
          <w:sz w:val="28"/>
          <w:szCs w:val="28"/>
          <w:lang w:val="en-US" w:eastAsia="zh-CN"/>
        </w:rPr>
        <w:t>6.1</w:t>
      </w:r>
      <w:r>
        <w:rPr>
          <w:rFonts w:hint="eastAsia" w:ascii="宋体" w:hAnsi="宋体" w:eastAsia="宋体" w:cs="宋体"/>
          <w:b/>
          <w:bCs/>
          <w:snapToGrid w:val="0"/>
          <w:color w:val="auto"/>
          <w:kern w:val="0"/>
          <w:sz w:val="28"/>
          <w:szCs w:val="28"/>
        </w:rPr>
        <w:t>应急救援有效性评价</w:t>
      </w:r>
      <w:bookmarkEnd w:id="229"/>
      <w:bookmarkEnd w:id="230"/>
      <w:bookmarkEnd w:id="231"/>
      <w:bookmarkEnd w:id="232"/>
      <w:bookmarkEnd w:id="233"/>
    </w:p>
    <w:p w14:paraId="4B1441C8">
      <w:pPr>
        <w:keepNext w:val="0"/>
        <w:keepLines w:val="0"/>
        <w:pageBreakBefore w:val="0"/>
        <w:widowControl/>
        <w:kinsoku/>
        <w:wordWrap/>
        <w:overflowPunct/>
        <w:topLinePunct w:val="0"/>
        <w:autoSpaceDE/>
        <w:autoSpaceDN/>
        <w:bidi w:val="0"/>
        <w:adjustRightInd/>
        <w:snapToGrid w:val="0"/>
        <w:spacing w:line="600" w:lineRule="exact"/>
        <w:ind w:firstLine="560" w:firstLineChars="200"/>
        <w:jc w:val="left"/>
        <w:textAlignment w:val="auto"/>
        <w:rPr>
          <w:rFonts w:hint="eastAsia" w:ascii="宋体" w:hAnsi="宋体" w:eastAsia="宋体" w:cs="宋体"/>
          <w:bCs/>
          <w:color w:val="auto"/>
          <w:kern w:val="2"/>
          <w:sz w:val="28"/>
          <w:szCs w:val="22"/>
          <w:lang w:val="en-US" w:eastAsia="zh-CN"/>
        </w:rPr>
      </w:pPr>
      <w:r>
        <w:rPr>
          <w:rFonts w:hint="eastAsia" w:ascii="宋体" w:hAnsi="宋体" w:eastAsia="宋体" w:cs="宋体"/>
          <w:bCs/>
          <w:color w:val="auto"/>
          <w:kern w:val="2"/>
          <w:sz w:val="28"/>
        </w:rPr>
        <w:t>企业已编制事故应急救援预案，该预案明确了应急救援指挥机构总指挥、副总指挥、各成员单位及其相应职责。应急救援指挥机构根据事故类型和应急工作需要，设置了相应的应急救援工作小组，并明确各小组的工作任务及职责。从总体上阐述处理事故的应急组织结构及相关应急职责，应急行动、措施和保障等基本要求和程序。应急预案阐述了该企业存在的危险源及风险分析结果，明确了该企业对危险源监测监控的方式、方法，以及采取的预防措施，制定明确的救援程序和具体的应急救援措施，并应急救援需要使用的应急物资和装备的类型、数量、性能、存放位置、管理责任人及其联系方式等内。现场处置方案是针对具体的装置、场所或设施、岗位所制定的应急处置措施。现场处置方案具体、简单、针对性强。</w:t>
      </w:r>
    </w:p>
    <w:p w14:paraId="5E5434BC">
      <w:pPr>
        <w:keepNext w:val="0"/>
        <w:keepLines w:val="0"/>
        <w:pageBreakBefore w:val="0"/>
        <w:kinsoku/>
        <w:wordWrap/>
        <w:overflowPunct/>
        <w:topLinePunct w:val="0"/>
        <w:autoSpaceDE/>
        <w:autoSpaceDN/>
        <w:bidi w:val="0"/>
        <w:adjustRightInd/>
        <w:spacing w:line="600" w:lineRule="exact"/>
        <w:jc w:val="left"/>
        <w:textAlignment w:val="auto"/>
        <w:outlineLvl w:val="1"/>
        <w:rPr>
          <w:rFonts w:hint="eastAsia" w:ascii="宋体" w:hAnsi="宋体" w:eastAsia="宋体" w:cs="宋体"/>
          <w:b/>
          <w:bCs/>
          <w:snapToGrid w:val="0"/>
          <w:color w:val="auto"/>
          <w:kern w:val="0"/>
          <w:sz w:val="30"/>
          <w:szCs w:val="30"/>
        </w:rPr>
      </w:pPr>
      <w:bookmarkStart w:id="234" w:name="_Toc452363904"/>
      <w:bookmarkStart w:id="235" w:name="_Toc460593456"/>
      <w:bookmarkStart w:id="236" w:name="_Toc456799542"/>
      <w:bookmarkStart w:id="237" w:name="_Toc9980"/>
      <w:bookmarkStart w:id="238" w:name="_Toc15633"/>
      <w:bookmarkStart w:id="239" w:name="_Toc16815"/>
      <w:r>
        <w:rPr>
          <w:rFonts w:hint="eastAsia" w:ascii="宋体" w:hAnsi="宋体" w:eastAsia="宋体" w:cs="宋体"/>
          <w:b/>
          <w:bCs/>
          <w:snapToGrid w:val="0"/>
          <w:color w:val="auto"/>
          <w:kern w:val="0"/>
          <w:sz w:val="30"/>
          <w:szCs w:val="30"/>
        </w:rPr>
        <w:t>5.</w:t>
      </w:r>
      <w:r>
        <w:rPr>
          <w:rFonts w:hint="eastAsia" w:hAnsi="宋体" w:cs="宋体"/>
          <w:b/>
          <w:bCs/>
          <w:snapToGrid w:val="0"/>
          <w:color w:val="auto"/>
          <w:kern w:val="0"/>
          <w:sz w:val="30"/>
          <w:szCs w:val="30"/>
          <w:lang w:val="en-US" w:eastAsia="zh-CN"/>
        </w:rPr>
        <w:t>7</w:t>
      </w:r>
      <w:r>
        <w:rPr>
          <w:rFonts w:hint="eastAsia" w:ascii="宋体" w:hAnsi="宋体" w:eastAsia="宋体" w:cs="宋体"/>
          <w:b/>
          <w:bCs/>
          <w:snapToGrid w:val="0"/>
          <w:color w:val="auto"/>
          <w:kern w:val="0"/>
          <w:sz w:val="30"/>
          <w:szCs w:val="30"/>
        </w:rPr>
        <w:t>评价小结</w:t>
      </w:r>
      <w:bookmarkEnd w:id="234"/>
      <w:bookmarkEnd w:id="235"/>
      <w:bookmarkEnd w:id="236"/>
      <w:bookmarkEnd w:id="237"/>
      <w:bookmarkEnd w:id="238"/>
      <w:bookmarkEnd w:id="239"/>
    </w:p>
    <w:p w14:paraId="32EC1F8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通过对该单位安全生产管理现状检查分析，该企业制定了安全管理制度、安全生产责任制、岗位操作规程。主要负责人、安全生产管理人员取得安全合格证；特种作业人员取得了特种作业资格证；从业人员进行了安全教育培训，考核合格后上岗作业，公司有专门的安全投入，并为从业人员购买了工伤保险，编制了《生产安全事故应急预案》。</w:t>
      </w:r>
    </w:p>
    <w:p w14:paraId="50076F9D">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color w:val="000000"/>
          <w:kern w:val="0"/>
          <w:sz w:val="28"/>
          <w:szCs w:val="28"/>
          <w:lang w:val="en-US" w:eastAsia="zh-CN" w:bidi="ar"/>
        </w:rPr>
        <w:sectPr>
          <w:pgSz w:w="11906" w:h="16838"/>
          <w:pgMar w:top="1417" w:right="1134" w:bottom="1134" w:left="1587" w:header="851" w:footer="992" w:gutter="0"/>
          <w:pgNumType w:fmt="numberInDash"/>
          <w:cols w:space="0" w:num="1"/>
          <w:rtlGutter w:val="0"/>
          <w:docGrid w:type="lines" w:linePitch="312" w:charSpace="0"/>
        </w:sectPr>
      </w:pPr>
    </w:p>
    <w:p w14:paraId="64A3239B">
      <w:pPr>
        <w:jc w:val="center"/>
        <w:outlineLvl w:val="0"/>
        <w:rPr>
          <w:rFonts w:hint="eastAsia" w:ascii="宋体" w:hAnsi="宋体" w:eastAsia="宋体" w:cs="宋体"/>
          <w:b/>
          <w:bCs/>
          <w:sz w:val="36"/>
          <w:szCs w:val="36"/>
          <w:lang w:val="en-US" w:eastAsia="zh-CN"/>
        </w:rPr>
      </w:pPr>
      <w:bookmarkStart w:id="240" w:name="_Toc12676"/>
      <w:bookmarkStart w:id="241" w:name="_Toc27295"/>
      <w:r>
        <w:rPr>
          <w:rFonts w:hint="eastAsia" w:ascii="宋体" w:hAnsi="宋体" w:eastAsia="宋体" w:cs="宋体"/>
          <w:b/>
          <w:bCs/>
          <w:sz w:val="36"/>
          <w:szCs w:val="36"/>
          <w:lang w:val="en-US" w:eastAsia="zh-CN"/>
        </w:rPr>
        <w:t>第6章 安全对策措施建议</w:t>
      </w:r>
      <w:bookmarkEnd w:id="240"/>
      <w:bookmarkEnd w:id="241"/>
    </w:p>
    <w:p w14:paraId="71A59CB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1"/>
        <w:rPr>
          <w:rFonts w:hint="eastAsia" w:ascii="宋体" w:hAnsi="宋体" w:eastAsia="宋体" w:cs="宋体"/>
          <w:sz w:val="30"/>
          <w:szCs w:val="30"/>
        </w:rPr>
      </w:pPr>
      <w:bookmarkStart w:id="242" w:name="_Toc11653"/>
      <w:bookmarkStart w:id="243" w:name="_Toc29339"/>
      <w:r>
        <w:rPr>
          <w:rFonts w:hint="eastAsia" w:ascii="宋体" w:hAnsi="宋体" w:eastAsia="宋体" w:cs="宋体"/>
          <w:b/>
          <w:bCs/>
          <w:color w:val="000000"/>
          <w:kern w:val="0"/>
          <w:sz w:val="30"/>
          <w:szCs w:val="30"/>
          <w:lang w:val="en-US" w:eastAsia="zh-CN" w:bidi="ar"/>
        </w:rPr>
        <w:t>6.1 存在的问题及整改情况说明</w:t>
      </w:r>
      <w:bookmarkEnd w:id="242"/>
      <w:bookmarkEnd w:id="243"/>
      <w:r>
        <w:rPr>
          <w:rFonts w:hint="eastAsia" w:ascii="宋体" w:hAnsi="宋体" w:eastAsia="宋体" w:cs="宋体"/>
          <w:b/>
          <w:bCs/>
          <w:color w:val="000000"/>
          <w:kern w:val="0"/>
          <w:sz w:val="30"/>
          <w:szCs w:val="30"/>
          <w:lang w:val="en-US" w:eastAsia="zh-CN" w:bidi="ar"/>
        </w:rPr>
        <w:t xml:space="preserve"> </w:t>
      </w:r>
    </w:p>
    <w:p w14:paraId="371AECF6">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244" w:name="_Toc14117"/>
      <w:bookmarkStart w:id="245" w:name="_Toc29357"/>
      <w:r>
        <w:rPr>
          <w:rFonts w:hint="eastAsia" w:ascii="宋体" w:hAnsi="宋体" w:eastAsia="宋体" w:cs="宋体"/>
          <w:b/>
          <w:bCs/>
          <w:color w:val="000000"/>
          <w:kern w:val="0"/>
          <w:sz w:val="28"/>
          <w:szCs w:val="28"/>
          <w:lang w:val="en-US" w:eastAsia="zh-CN" w:bidi="ar"/>
        </w:rPr>
        <w:t>6.1.1 存在的主要问题</w:t>
      </w:r>
      <w:bookmarkEnd w:id="244"/>
      <w:bookmarkEnd w:id="245"/>
    </w:p>
    <w:p w14:paraId="557D35BB">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val="en-US" w:eastAsia="zh-CN"/>
        </w:rPr>
        <w:t>配电柜、消火栓下方有杂物堵塞通道；</w:t>
      </w:r>
    </w:p>
    <w:p w14:paraId="7CB4C5C3">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val="en-US" w:eastAsia="zh-CN"/>
        </w:rPr>
        <w:t>起吊吊带管理不到位，吊带磨损严重；部分无吊钩防脱钩装置；</w:t>
      </w:r>
    </w:p>
    <w:p w14:paraId="5B579730">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起吊作业人员未带安全帽，未穿防砸鞋；</w:t>
      </w:r>
    </w:p>
    <w:p w14:paraId="00531F5B">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机床作业人员带手套作业；</w:t>
      </w:r>
    </w:p>
    <w:p w14:paraId="7A8454E4">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空气储罐安全阀未校验、未装压力表；</w:t>
      </w:r>
    </w:p>
    <w:p w14:paraId="41831DD4">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安全疏散、应急照明未供电；</w:t>
      </w:r>
    </w:p>
    <w:p w14:paraId="422C4C07">
      <w:pPr>
        <w:keepNext w:val="0"/>
        <w:keepLines w:val="0"/>
        <w:pageBreakBefore w:val="0"/>
        <w:widowControl w:val="0"/>
        <w:numPr>
          <w:ilvl w:val="0"/>
          <w:numId w:val="4"/>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eastAsia="zh-CN"/>
        </w:rPr>
      </w:pPr>
      <w:r>
        <w:rPr>
          <w:rFonts w:hint="eastAsia" w:ascii="宋体" w:hAnsi="宋体" w:eastAsia="宋体" w:cs="宋体"/>
          <w:b w:val="0"/>
          <w:bCs w:val="0"/>
          <w:sz w:val="28"/>
          <w:szCs w:val="28"/>
          <w:vertAlign w:val="baseline"/>
          <w:lang w:eastAsia="zh-CN"/>
        </w:rPr>
        <w:t>清洗用溶剂使用塑料容器盛装；</w:t>
      </w:r>
    </w:p>
    <w:p w14:paraId="5B1CB1DC">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b/>
          <w:bCs/>
          <w:sz w:val="28"/>
          <w:szCs w:val="24"/>
          <w:lang w:val="en-US" w:eastAsia="zh-CN"/>
        </w:rPr>
      </w:pPr>
      <w:bookmarkStart w:id="246" w:name="_Toc28682"/>
      <w:bookmarkStart w:id="247" w:name="_Toc7684"/>
      <w:bookmarkStart w:id="248" w:name="_Toc2320"/>
      <w:r>
        <w:rPr>
          <w:rFonts w:hint="eastAsia" w:ascii="宋体" w:hAnsi="宋体" w:eastAsia="宋体" w:cs="宋体"/>
          <w:b/>
          <w:bCs/>
          <w:sz w:val="28"/>
          <w:szCs w:val="24"/>
          <w:lang w:val="en-US" w:eastAsia="zh-CN"/>
        </w:rPr>
        <w:t>6.1.2整改建议</w:t>
      </w:r>
      <w:bookmarkEnd w:id="246"/>
      <w:bookmarkEnd w:id="247"/>
      <w:bookmarkEnd w:id="248"/>
    </w:p>
    <w:p w14:paraId="5CF5DB44">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color w:val="000000"/>
          <w:sz w:val="28"/>
          <w:szCs w:val="28"/>
          <w:lang w:val="en-US"/>
        </w:rPr>
      </w:pPr>
      <w:r>
        <w:rPr>
          <w:rFonts w:hint="eastAsia" w:ascii="宋体" w:hAnsi="宋体" w:eastAsia="宋体" w:cs="宋体"/>
          <w:color w:val="000000"/>
          <w:sz w:val="28"/>
          <w:szCs w:val="28"/>
          <w:lang w:val="en-US"/>
        </w:rPr>
        <w:t>安排专人定期进行检查和维护，及时清理</w:t>
      </w:r>
      <w:r>
        <w:rPr>
          <w:rFonts w:hint="eastAsia" w:ascii="宋体" w:hAnsi="宋体" w:eastAsia="宋体" w:cs="宋体"/>
          <w:b w:val="0"/>
          <w:bCs w:val="0"/>
          <w:sz w:val="28"/>
          <w:szCs w:val="28"/>
          <w:vertAlign w:val="baseline"/>
          <w:lang w:val="en-US" w:eastAsia="zh-CN"/>
        </w:rPr>
        <w:t>配电柜、消火栓</w:t>
      </w:r>
      <w:r>
        <w:rPr>
          <w:rFonts w:hint="eastAsia" w:ascii="宋体" w:hAnsi="宋体" w:eastAsia="宋体" w:cs="宋体"/>
          <w:color w:val="000000"/>
          <w:sz w:val="28"/>
          <w:szCs w:val="28"/>
          <w:lang w:val="en-US"/>
        </w:rPr>
        <w:t>周围的杂物，确保通道畅通无阻。</w:t>
      </w:r>
    </w:p>
    <w:p w14:paraId="5AA1D139">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color w:val="000000"/>
          <w:sz w:val="28"/>
          <w:szCs w:val="28"/>
          <w:lang w:val="en-US"/>
        </w:rPr>
      </w:pPr>
      <w:r>
        <w:rPr>
          <w:rFonts w:hint="eastAsia" w:ascii="宋体" w:hAnsi="宋体" w:eastAsia="宋体" w:cs="宋体"/>
          <w:color w:val="000000"/>
          <w:sz w:val="28"/>
          <w:szCs w:val="28"/>
          <w:lang w:val="en-US"/>
        </w:rPr>
        <w:t>定期对起吊吊带进行检查，包括外观检查、磨损测量等，发现磨损严重的吊带应立即停止使用并进行更换。采购符合标准的吊钩防脱钩装置，并按照相关规定进行安装和调试。</w:t>
      </w:r>
    </w:p>
    <w:p w14:paraId="46B7D8F7">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color w:val="000000"/>
          <w:sz w:val="28"/>
          <w:szCs w:val="28"/>
          <w:lang w:val="en-US"/>
        </w:rPr>
      </w:pPr>
      <w:r>
        <w:rPr>
          <w:rFonts w:hint="eastAsia" w:ascii="宋体" w:hAnsi="宋体" w:eastAsia="宋体" w:cs="宋体"/>
          <w:color w:val="000000"/>
          <w:sz w:val="28"/>
          <w:szCs w:val="28"/>
          <w:lang w:val="en-US"/>
        </w:rPr>
        <w:t>加强对起吊作业人员的安全教育培训，明确未佩戴安全帽和防砸鞋的危害以及相关安全规定，提高作业人员的安全意识。为起吊作业人员配备安全帽和防砸鞋，并定期检查其质量和适用性，确保作业人员有合格的防护装备。</w:t>
      </w:r>
    </w:p>
    <w:p w14:paraId="32858164">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color w:val="000000"/>
          <w:sz w:val="28"/>
          <w:szCs w:val="28"/>
          <w:lang w:val="en-US"/>
        </w:rPr>
      </w:pPr>
      <w:r>
        <w:rPr>
          <w:rFonts w:hint="eastAsia" w:ascii="宋体" w:hAnsi="宋体" w:eastAsia="宋体" w:cs="宋体"/>
          <w:color w:val="000000"/>
          <w:sz w:val="28"/>
          <w:szCs w:val="28"/>
          <w:lang w:val="en-US"/>
        </w:rPr>
        <w:t>加强对作业现场的监督检查，安排专人对机床作业人员的行为进行监督，一旦发现带手套作业的情况，立即予以纠正和教育。</w:t>
      </w:r>
    </w:p>
    <w:p w14:paraId="77E0AB1C">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color w:val="000000"/>
          <w:sz w:val="28"/>
          <w:szCs w:val="28"/>
          <w:lang w:val="en-US"/>
        </w:rPr>
      </w:pPr>
      <w:r>
        <w:rPr>
          <w:rFonts w:hint="eastAsia" w:ascii="宋体" w:hAnsi="宋体" w:eastAsia="宋体" w:cs="宋体"/>
          <w:color w:val="000000"/>
          <w:sz w:val="28"/>
          <w:szCs w:val="28"/>
          <w:lang w:val="en-US"/>
        </w:rPr>
        <w:t>对空气储罐的安全阀进行校验</w:t>
      </w:r>
      <w:r>
        <w:rPr>
          <w:rFonts w:hint="eastAsia" w:ascii="宋体" w:hAnsi="宋体" w:eastAsia="宋体" w:cs="宋体"/>
          <w:color w:val="000000"/>
          <w:sz w:val="28"/>
          <w:szCs w:val="28"/>
          <w:lang w:val="en-US" w:eastAsia="zh-CN"/>
        </w:rPr>
        <w:t>，</w:t>
      </w:r>
      <w:r>
        <w:rPr>
          <w:rFonts w:hint="eastAsia" w:ascii="宋体" w:hAnsi="宋体" w:eastAsia="宋体" w:cs="宋体"/>
          <w:color w:val="000000"/>
          <w:sz w:val="28"/>
          <w:szCs w:val="28"/>
          <w:lang w:val="en-US"/>
        </w:rPr>
        <w:t>校验过程应严格按照相关标准和规范进行，确保安全阀的性能和可靠性。安排专业人员进行压力表的安装，安装位置应便于操作人员读取压力值，且不会受到外界因素的干扰。</w:t>
      </w:r>
    </w:p>
    <w:p w14:paraId="6414F3D9">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color w:val="000000"/>
          <w:sz w:val="28"/>
          <w:szCs w:val="28"/>
          <w:lang w:val="en-US"/>
        </w:rPr>
      </w:pPr>
      <w:r>
        <w:rPr>
          <w:rFonts w:hint="eastAsia" w:ascii="宋体" w:hAnsi="宋体" w:eastAsia="宋体" w:cs="宋体"/>
          <w:color w:val="000000"/>
          <w:sz w:val="28"/>
          <w:szCs w:val="28"/>
          <w:lang w:val="en-US"/>
        </w:rPr>
        <w:t>针对发现的供电问题，及时安排专业电工进行维修和更换损坏的线路、开关、插座等部件，确保供电线路的正常运行。</w:t>
      </w:r>
    </w:p>
    <w:p w14:paraId="17AD9F6A">
      <w:pPr>
        <w:keepNext w:val="0"/>
        <w:keepLines w:val="0"/>
        <w:pageBreakBefore w:val="0"/>
        <w:widowControl w:val="0"/>
        <w:numPr>
          <w:ilvl w:val="0"/>
          <w:numId w:val="5"/>
        </w:numPr>
        <w:kinsoku/>
        <w:wordWrap/>
        <w:overflowPunct/>
        <w:topLinePunct w:val="0"/>
        <w:autoSpaceDE/>
        <w:autoSpaceDN/>
        <w:bidi w:val="0"/>
        <w:adjustRightInd/>
        <w:snapToGrid/>
        <w:spacing w:line="600" w:lineRule="exact"/>
        <w:ind w:left="0" w:leftChars="0" w:firstLine="400" w:firstLineChars="0"/>
        <w:jc w:val="both"/>
        <w:textAlignment w:val="auto"/>
        <w:rPr>
          <w:rFonts w:hint="eastAsia" w:ascii="宋体" w:hAnsi="宋体" w:eastAsia="宋体" w:cs="宋体"/>
          <w:b w:val="0"/>
          <w:bCs w:val="0"/>
          <w:sz w:val="28"/>
          <w:szCs w:val="28"/>
          <w:vertAlign w:val="baseline"/>
          <w:lang w:val="en-US" w:eastAsia="zh-CN"/>
        </w:rPr>
      </w:pPr>
      <w:r>
        <w:rPr>
          <w:rFonts w:hint="eastAsia" w:ascii="宋体" w:hAnsi="宋体" w:eastAsia="宋体" w:cs="宋体"/>
          <w:color w:val="000000"/>
          <w:sz w:val="28"/>
          <w:szCs w:val="28"/>
          <w:lang w:val="en-US"/>
        </w:rPr>
        <w:t>更换盛装容器</w:t>
      </w:r>
      <w:r>
        <w:rPr>
          <w:rFonts w:hint="eastAsia" w:ascii="宋体" w:hAnsi="宋体" w:eastAsia="宋体" w:cs="宋体"/>
          <w:color w:val="000000"/>
          <w:sz w:val="28"/>
          <w:szCs w:val="28"/>
          <w:lang w:val="en-US" w:eastAsia="zh-CN"/>
        </w:rPr>
        <w:t>，</w:t>
      </w:r>
      <w:r>
        <w:rPr>
          <w:rFonts w:hint="eastAsia" w:ascii="宋体" w:hAnsi="宋体" w:eastAsia="宋体" w:cs="宋体"/>
          <w:color w:val="000000"/>
          <w:sz w:val="28"/>
          <w:szCs w:val="28"/>
          <w:lang w:val="en-US"/>
        </w:rPr>
        <w:t>停止使用塑料容器盛装清洗用溶剂，而选用符合安全标准的专用金属容器或其他规定材质的容器来盛装。</w:t>
      </w:r>
    </w:p>
    <w:p w14:paraId="1168E2E4">
      <w:pPr>
        <w:pStyle w:val="20"/>
        <w:keepNext w:val="0"/>
        <w:keepLines w:val="0"/>
        <w:pageBreakBefore w:val="0"/>
        <w:kinsoku/>
        <w:wordWrap/>
        <w:overflowPunct/>
        <w:topLinePunct w:val="0"/>
        <w:bidi w:val="0"/>
        <w:snapToGrid/>
        <w:spacing w:line="600" w:lineRule="exact"/>
        <w:textAlignment w:val="auto"/>
        <w:outlineLvl w:val="2"/>
        <w:rPr>
          <w:rFonts w:hint="eastAsia" w:ascii="宋体" w:hAnsi="宋体" w:eastAsia="宋体" w:cs="宋体"/>
          <w:b/>
          <w:bCs/>
          <w:sz w:val="28"/>
          <w:szCs w:val="24"/>
          <w:lang w:val="en-US" w:eastAsia="zh-CN"/>
        </w:rPr>
      </w:pPr>
      <w:bookmarkStart w:id="249" w:name="_Toc6143"/>
      <w:bookmarkStart w:id="250" w:name="_Toc23618"/>
      <w:bookmarkStart w:id="251" w:name="_Toc9744"/>
      <w:r>
        <w:rPr>
          <w:rFonts w:hint="eastAsia" w:ascii="宋体" w:hAnsi="宋体" w:eastAsia="宋体" w:cs="宋体"/>
          <w:b/>
          <w:bCs/>
          <w:sz w:val="28"/>
          <w:szCs w:val="24"/>
          <w:lang w:val="en-US" w:eastAsia="zh-CN"/>
        </w:rPr>
        <w:t>6.1.3整改完成情况</w:t>
      </w:r>
      <w:bookmarkEnd w:id="249"/>
      <w:bookmarkEnd w:id="250"/>
      <w:bookmarkEnd w:id="251"/>
    </w:p>
    <w:p w14:paraId="5B3B112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pPr>
      <w:r>
        <w:rPr>
          <w:rFonts w:hint="eastAsia" w:ascii="宋体" w:hAnsi="宋体" w:eastAsia="宋体" w:cs="宋体"/>
          <w:sz w:val="28"/>
          <w:szCs w:val="28"/>
          <w:lang w:val="en-US" w:eastAsia="zh-CN"/>
        </w:rPr>
        <w:t>针对上述问题，企业已认真对照整改，并提供整改反馈见报告</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附件</w:t>
      </w:r>
      <w:r>
        <w:rPr>
          <w:rFonts w:hint="eastAsia" w:hAnsi="宋体" w:cs="宋体"/>
          <w:color w:val="000000" w:themeColor="text1"/>
          <w:sz w:val="28"/>
          <w:szCs w:val="28"/>
          <w:shd w:val="clear" w:color="auto" w:fill="auto"/>
          <w:lang w:val="en-US" w:eastAsia="zh-CN"/>
          <w14:textFill>
            <w14:solidFill>
              <w14:schemeClr w14:val="tx1"/>
            </w14:solidFill>
          </w14:textFill>
        </w:rPr>
        <w:t>22</w:t>
      </w:r>
      <w:r>
        <w:rPr>
          <w:rFonts w:hint="eastAsia" w:ascii="宋体" w:hAnsi="宋体" w:eastAsia="宋体" w:cs="宋体"/>
          <w:color w:val="000000" w:themeColor="text1"/>
          <w:sz w:val="28"/>
          <w:szCs w:val="28"/>
          <w:shd w:val="clear" w:color="auto" w:fill="auto"/>
          <w:lang w:val="en-US" w:eastAsia="zh-CN"/>
          <w14:textFill>
            <w14:solidFill>
              <w14:schemeClr w14:val="tx1"/>
            </w14:solidFill>
          </w14:textFill>
        </w:rPr>
        <w:t>。</w:t>
      </w:r>
    </w:p>
    <w:p w14:paraId="5C1AE1ED">
      <w:pPr>
        <w:keepNext w:val="0"/>
        <w:keepLines w:val="0"/>
        <w:pageBreakBefore w:val="0"/>
        <w:widowControl w:val="0"/>
        <w:kinsoku/>
        <w:wordWrap/>
        <w:overflowPunct/>
        <w:topLinePunct w:val="0"/>
        <w:autoSpaceDE/>
        <w:autoSpaceDN/>
        <w:bidi w:val="0"/>
        <w:adjustRightInd/>
        <w:snapToGrid/>
        <w:spacing w:line="600" w:lineRule="exact"/>
        <w:textAlignment w:val="auto"/>
        <w:outlineLvl w:val="1"/>
        <w:rPr>
          <w:rFonts w:hint="eastAsia" w:ascii="宋体" w:hAnsi="宋体" w:eastAsia="宋体" w:cs="宋体"/>
          <w:sz w:val="30"/>
          <w:szCs w:val="30"/>
        </w:rPr>
      </w:pPr>
      <w:bookmarkStart w:id="252" w:name="_Toc27750"/>
      <w:bookmarkStart w:id="253" w:name="_Toc714"/>
      <w:r>
        <w:rPr>
          <w:rFonts w:hint="eastAsia" w:ascii="宋体" w:hAnsi="宋体" w:eastAsia="宋体" w:cs="宋体"/>
          <w:b/>
          <w:bCs/>
          <w:color w:val="000000"/>
          <w:kern w:val="0"/>
          <w:sz w:val="30"/>
          <w:szCs w:val="30"/>
          <w:lang w:val="en-US" w:eastAsia="zh-CN" w:bidi="ar"/>
        </w:rPr>
        <w:t>6.2 安全防范措施建议</w:t>
      </w:r>
      <w:bookmarkEnd w:id="252"/>
      <w:bookmarkEnd w:id="253"/>
      <w:r>
        <w:rPr>
          <w:rFonts w:hint="eastAsia" w:ascii="宋体" w:hAnsi="宋体" w:eastAsia="宋体" w:cs="宋体"/>
          <w:b/>
          <w:bCs/>
          <w:color w:val="000000"/>
          <w:kern w:val="0"/>
          <w:sz w:val="30"/>
          <w:szCs w:val="30"/>
          <w:lang w:val="en-US" w:eastAsia="zh-CN" w:bidi="ar"/>
        </w:rPr>
        <w:t xml:space="preserve"> </w:t>
      </w:r>
    </w:p>
    <w:p w14:paraId="292B060F">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254" w:name="_Toc32205"/>
      <w:bookmarkStart w:id="255" w:name="_Toc5342"/>
      <w:r>
        <w:rPr>
          <w:rFonts w:hint="eastAsia" w:ascii="宋体" w:hAnsi="宋体" w:eastAsia="宋体" w:cs="宋体"/>
          <w:b/>
          <w:bCs/>
          <w:color w:val="000000"/>
          <w:kern w:val="0"/>
          <w:sz w:val="28"/>
          <w:szCs w:val="28"/>
          <w:lang w:val="en-US" w:eastAsia="zh-CN" w:bidi="ar"/>
        </w:rPr>
        <w:t>6.2.1 厂址及总平面布置方面安全防范措施建议</w:t>
      </w:r>
      <w:bookmarkEnd w:id="254"/>
      <w:bookmarkEnd w:id="255"/>
    </w:p>
    <w:p w14:paraId="363AE1D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在生产过程中，要确保各功能区消防安全通道和人行通道畅通，任何部门和个人在任何情况下不能以任何理由占用、堵塞消防安全通道和人行通道，禁止在消防安全通道和人行通道上堆放杂物，每天要对安全通道进行巡回检查，以确保通道畅通。 </w:t>
      </w:r>
    </w:p>
    <w:p w14:paraId="1F07E73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2、运输车辆在厂内行驶时，应严格按照相关规定驾驶，合理停放，避免发生车辆伤害事故。</w:t>
      </w:r>
    </w:p>
    <w:p w14:paraId="665D6155">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3、要加强租赁企业的安全管理，厂区道路、部分场所属于公用，涉及交叉作业，应加强安全管理与监督，严格落实安全生产管理协议的相关安全职责，防范事故发生。 </w:t>
      </w:r>
    </w:p>
    <w:p w14:paraId="5CB753E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4、对承租单位生产经营场所定期进行安全检查，及时排除安全隐患，避免发生事故影响到本项目生产作业。 </w:t>
      </w:r>
    </w:p>
    <w:p w14:paraId="105D2FE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5、严禁私搭乱建固定或临时性建筑物，避免导致厂房之间防火间距不足，严禁堵塞消防疏散通道。</w:t>
      </w:r>
    </w:p>
    <w:p w14:paraId="340FF13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256" w:name="_Toc881"/>
      <w:bookmarkStart w:id="257" w:name="_Toc23437"/>
      <w:r>
        <w:rPr>
          <w:rFonts w:hint="eastAsia" w:ascii="宋体" w:hAnsi="宋体" w:eastAsia="宋体" w:cs="宋体"/>
          <w:b/>
          <w:bCs/>
          <w:color w:val="000000"/>
          <w:kern w:val="0"/>
          <w:sz w:val="28"/>
          <w:szCs w:val="28"/>
          <w:lang w:val="en-US" w:eastAsia="zh-CN" w:bidi="ar"/>
        </w:rPr>
        <w:t>6.2.2 生产设备安全防范措施建议</w:t>
      </w:r>
      <w:bookmarkEnd w:id="256"/>
      <w:bookmarkEnd w:id="257"/>
    </w:p>
    <w:p w14:paraId="3D0CC53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1、生产车间内起重设备较多，使用较为频繁，因此，必须加强起重设备的安全管理，起重机、钢丝绳、吊钩等应定期进行检查、维护、保养，若发现缺失、损坏、失灵等情况应尽快进行修复、维护。</w:t>
      </w:r>
    </w:p>
    <w:p w14:paraId="25809FF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lang w:val="en-US" w:eastAsia="zh-CN"/>
        </w:rPr>
      </w:pPr>
      <w:r>
        <w:rPr>
          <w:rFonts w:hint="eastAsia" w:ascii="宋体" w:hAnsi="宋体" w:eastAsia="宋体" w:cs="宋体"/>
          <w:color w:val="000000"/>
          <w:kern w:val="0"/>
          <w:sz w:val="28"/>
          <w:szCs w:val="28"/>
          <w:lang w:val="en-US" w:eastAsia="zh-CN" w:bidi="ar"/>
        </w:rPr>
        <w:t>2、定期对起重设备进行检测、检验，确保在用的特种设备在检测、检验有效期内。</w:t>
      </w:r>
    </w:p>
    <w:p w14:paraId="1B5327D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3、对防雷接地装置应做好日常的维护工作，保证其良好有效，并定期请具备相应资质的单位进行检测检验，出具相应的检测报告。</w:t>
      </w:r>
    </w:p>
    <w:p w14:paraId="6534599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4、机械电气设备必须做好电气保护接地，定期对电气保护接地进行检 </w:t>
      </w:r>
    </w:p>
    <w:p w14:paraId="38E5F90B">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查，对漏电保护器进行定期检查。</w:t>
      </w:r>
    </w:p>
    <w:p w14:paraId="516E45F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5、加强对消防设施的维护保养，定期对消防设施进行检验，保证消防设施的有效性，经常保持消防器材的清洁。</w:t>
      </w:r>
    </w:p>
    <w:p w14:paraId="06A404A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6、在潮湿环境下作业时，应选用合格的防潮防漏电电气设备，使用手持电动工具进行作业时、在金属容器内进行检维修作业时，均应使用安全电压。 </w:t>
      </w:r>
    </w:p>
    <w:p w14:paraId="45F3B38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7、维修人员设备调整、检修，以及需要停机排除各种故障时，都必须 </w:t>
      </w:r>
    </w:p>
    <w:p w14:paraId="4A1B3E0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在设备启动开关旁挂警示标志牌。警告牌的色调、字体必须醒目易见。必要 </w:t>
      </w:r>
    </w:p>
    <w:p w14:paraId="16841B6B">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时应有人监护开关。 </w:t>
      </w:r>
    </w:p>
    <w:p w14:paraId="1F6F5C6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8、生产车间内使用的手持式电动工具应定期开展绝缘防护检测，开关 </w:t>
      </w:r>
    </w:p>
    <w:p w14:paraId="3689E54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箱内的漏电保护器应定期进行试验。 </w:t>
      </w:r>
    </w:p>
    <w:p w14:paraId="603410B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9、建议企业对建筑消防设施每年至少进行一次全面检测，确保完好有 </w:t>
      </w:r>
    </w:p>
    <w:p w14:paraId="652DF984">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效，检测记录应当完整准确，存档备查。</w:t>
      </w:r>
    </w:p>
    <w:p w14:paraId="628B5897">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258" w:name="_Toc21487"/>
      <w:bookmarkStart w:id="259" w:name="_Toc28590"/>
      <w:r>
        <w:rPr>
          <w:rFonts w:hint="eastAsia" w:ascii="宋体" w:hAnsi="宋体" w:eastAsia="宋体" w:cs="宋体"/>
          <w:b/>
          <w:bCs/>
          <w:color w:val="000000"/>
          <w:kern w:val="0"/>
          <w:sz w:val="28"/>
          <w:szCs w:val="28"/>
          <w:lang w:val="en-US" w:eastAsia="zh-CN" w:bidi="ar"/>
        </w:rPr>
        <w:t>6.2.3 公共辅助设施安全防范措施建议</w:t>
      </w:r>
      <w:bookmarkEnd w:id="258"/>
      <w:bookmarkEnd w:id="259"/>
    </w:p>
    <w:p w14:paraId="18805B2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1、应急安全出口不得堆放杂物，保证畅通无阻。 </w:t>
      </w:r>
    </w:p>
    <w:p w14:paraId="0C50D20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2、工作位置应保证操作人员的安全，平台和通道必须防滑，必要时设置踏板和栏杆。 </w:t>
      </w:r>
    </w:p>
    <w:p w14:paraId="10C8677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3、消防器材应当设置在明显和便于取用的地方，任何人不得随便移动， </w:t>
      </w:r>
    </w:p>
    <w:p w14:paraId="3F7CC49C">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不得上锁，不得受阳光曝晒、火烤、雨淋，一经使用，应立即更换，不得空 </w:t>
      </w:r>
    </w:p>
    <w:p w14:paraId="755B941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置或随意丢弃。</w:t>
      </w:r>
    </w:p>
    <w:p w14:paraId="181016C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b/>
          <w:bCs/>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4、疏散门应向疏散方向开启，入口处应设置明显的标志。</w:t>
      </w:r>
    </w:p>
    <w:p w14:paraId="309D55B5">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outlineLvl w:val="2"/>
        <w:rPr>
          <w:rFonts w:hint="eastAsia" w:ascii="宋体" w:hAnsi="宋体" w:eastAsia="宋体" w:cs="宋体"/>
          <w:sz w:val="28"/>
          <w:szCs w:val="28"/>
        </w:rPr>
      </w:pPr>
      <w:bookmarkStart w:id="260" w:name="_Toc20836"/>
      <w:bookmarkStart w:id="261" w:name="_Toc7661"/>
      <w:r>
        <w:rPr>
          <w:rFonts w:hint="eastAsia" w:ascii="宋体" w:hAnsi="宋体" w:eastAsia="宋体" w:cs="宋体"/>
          <w:b/>
          <w:bCs/>
          <w:color w:val="000000"/>
          <w:kern w:val="0"/>
          <w:sz w:val="28"/>
          <w:szCs w:val="28"/>
          <w:lang w:val="en-US" w:eastAsia="zh-CN" w:bidi="ar"/>
        </w:rPr>
        <w:t>6.2.</w:t>
      </w:r>
      <w:r>
        <w:rPr>
          <w:rFonts w:hint="eastAsia" w:hAnsi="宋体" w:cs="宋体"/>
          <w:b/>
          <w:bCs/>
          <w:color w:val="000000"/>
          <w:kern w:val="0"/>
          <w:sz w:val="28"/>
          <w:szCs w:val="28"/>
          <w:lang w:val="en-US" w:eastAsia="zh-CN" w:bidi="ar"/>
        </w:rPr>
        <w:t>4</w:t>
      </w:r>
      <w:r>
        <w:rPr>
          <w:rFonts w:hint="eastAsia" w:ascii="宋体" w:hAnsi="宋体" w:eastAsia="宋体" w:cs="宋体"/>
          <w:b/>
          <w:bCs/>
          <w:color w:val="000000"/>
          <w:kern w:val="0"/>
          <w:sz w:val="28"/>
          <w:szCs w:val="28"/>
          <w:lang w:val="en-US" w:eastAsia="zh-CN" w:bidi="ar"/>
        </w:rPr>
        <w:t>安全管理安全防范措施建议</w:t>
      </w:r>
      <w:bookmarkEnd w:id="260"/>
      <w:bookmarkEnd w:id="261"/>
    </w:p>
    <w:p w14:paraId="399C4F5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1、加强对特种作业人员的培训，特种作业人员必须持证上岗，严禁无证上岗。 </w:t>
      </w:r>
    </w:p>
    <w:p w14:paraId="2308A196">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sz w:val="28"/>
          <w:szCs w:val="28"/>
        </w:rPr>
      </w:pPr>
      <w:r>
        <w:rPr>
          <w:rFonts w:hint="eastAsia" w:ascii="宋体" w:hAnsi="宋体" w:eastAsia="宋体" w:cs="宋体"/>
          <w:color w:val="000000"/>
          <w:kern w:val="0"/>
          <w:sz w:val="28"/>
          <w:szCs w:val="28"/>
          <w:lang w:val="en-US" w:eastAsia="zh-CN" w:bidi="ar"/>
        </w:rPr>
        <w:t>2、建立机械设备的操作规程及各工种的安全技术操作规范，并将其悬挂于作业点；</w:t>
      </w:r>
    </w:p>
    <w:p w14:paraId="46D6050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3、建立定期的安全教育培训制度，加强对各类职工的安全培训教育，不断提高作业人员的安全意识、素质和安全技能，增强其识别、预防、处理事故的能力。 </w:t>
      </w:r>
    </w:p>
    <w:p w14:paraId="414034E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4、公司应保证安全管理资金的必要投入，完善相应的安全配套设施。 </w:t>
      </w:r>
    </w:p>
    <w:p w14:paraId="5F1FDC98">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5、严格落实安全生产责任制，建立各类安全检查制度，建立完善安全管理台帐；同时严格执行安全生产检查制度，做好安全检查记录。 </w:t>
      </w:r>
    </w:p>
    <w:p w14:paraId="28E47BA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6、主要机械设备应定期检测，并做好台帐记录。 </w:t>
      </w:r>
    </w:p>
    <w:p w14:paraId="4867C35A">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7、加强对员工的安全意识和安全操作的教育，杜绝"三违"。 </w:t>
      </w:r>
    </w:p>
    <w:p w14:paraId="16FE2B0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8、按规定修订职业危害作业人员健康档案，进一步健全员工职业健康档案并妥善保管，定期对职业危害作业人员健康档案进行分析。 </w:t>
      </w:r>
    </w:p>
    <w:p w14:paraId="5A0377FC">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 xml:space="preserve">9、生产经营单位应当建立安全风险分级管控制度，按照安全风险分级采取相应的管控措施。 </w:t>
      </w:r>
    </w:p>
    <w:p w14:paraId="23F0688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10、根据《安全标志及其使用导则》（GB2894-2008）和《安全色》 （GB2893-2008）的相关要求，进一步完善安全标志、安全色的设置，加强对安全标志的管理，建立定期检查和更换制度。</w:t>
      </w:r>
    </w:p>
    <w:p w14:paraId="5E798B3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sz w:val="28"/>
          <w:szCs w:val="28"/>
          <w:lang w:val="en-US" w:eastAsia="zh-CN"/>
        </w:rPr>
      </w:pPr>
      <w:r>
        <w:rPr>
          <w:rFonts w:hint="eastAsia" w:ascii="宋体" w:hAnsi="宋体" w:eastAsia="宋体" w:cs="宋体"/>
          <w:color w:val="000000"/>
          <w:kern w:val="0"/>
          <w:sz w:val="28"/>
          <w:szCs w:val="28"/>
          <w:lang w:val="en-US" w:eastAsia="zh-CN" w:bidi="ar"/>
        </w:rPr>
        <w:t>11、应按照《国家安全监管总局关于印发开展工贸企业较大危险因素辨</w:t>
      </w:r>
    </w:p>
    <w:p w14:paraId="0BD6EDEB">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识管控提升防范事故能力行动计划的通知》（安监总管四〔2016〕31 号）、《工贸行业较大危险因素辨识与防范指导手册（2016 版）》、《云南省安全生产监督管理局关于印发工贸行业遏制重特大事故工作方案的通知》（云安监管〔2016〕80 号）等相关规定开展企业较大危险因素识别，建立《企业较大危险因素辨识与防范控制措施登记表（示例）》，在较大危险因素现场设置《较大危险因素告知卡》。 </w:t>
      </w:r>
    </w:p>
    <w:p w14:paraId="3727EFE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12、应按照《企业安全生产标准化建设定级办法》（应急〔2021〕83 号）、 </w:t>
      </w:r>
    </w:p>
    <w:p w14:paraId="2AF54A88">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《云南省应急管理厅关于印发云南省企业安全生产标准化建设定级实施办法的通知》（云应急〔2023〕6 号）等的要求，以《企业安全生产标准化基本规范》（GB/</w:t>
      </w:r>
      <w:r>
        <w:rPr>
          <w:rFonts w:hint="eastAsia" w:hAnsi="宋体" w:cs="宋体"/>
          <w:color w:val="000000"/>
          <w:kern w:val="0"/>
          <w:sz w:val="28"/>
          <w:szCs w:val="28"/>
          <w:lang w:val="en-US" w:eastAsia="zh-CN" w:bidi="ar"/>
        </w:rPr>
        <w:t>T</w:t>
      </w:r>
      <w:r>
        <w:rPr>
          <w:rFonts w:hint="eastAsia" w:ascii="宋体" w:hAnsi="宋体" w:eastAsia="宋体" w:cs="宋体"/>
          <w:color w:val="000000"/>
          <w:kern w:val="0"/>
          <w:sz w:val="28"/>
          <w:szCs w:val="28"/>
          <w:lang w:val="en-US" w:eastAsia="zh-CN" w:bidi="ar"/>
        </w:rPr>
        <w:t>33000-2016）的相关规定，开展安全生产标准化建设，全面夯实安全生产工作基础，提高公司防范事故能力。</w:t>
      </w:r>
    </w:p>
    <w:p w14:paraId="5EB214A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13、企业应根据《安全生产法》及《云南省工贸行业企业安全风险源点</w:t>
      </w:r>
    </w:p>
    <w:p w14:paraId="6D83DD0D">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定性定量判别参考标准指南（试行）》（云应急〔2022〕8 号）等的有关要求，加大对安全生产资金、物资、技术、人员的投入保障力度，改善安全生产条件，构建并不断完善安全风险分级管控和隐患排查治理双重预防体系，健全风险防范化解机制，提高安全生产水平，确保安全生产。 </w:t>
      </w:r>
    </w:p>
    <w:p w14:paraId="0AA94A12">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14、按照《云南省应急管理厅关于印发&lt;云南省工贸企业安全生产主体责任重点事项清单（暂行）&gt;的通知》（云应急﹝2022﹞9 号）要求，企业应落实安全生产主体责任，做好《清单》中明确的 5 个层面 29 项法定重点事项是落实企业安全生产主体责任的最基本要求。 </w:t>
      </w:r>
    </w:p>
    <w:p w14:paraId="22BA0260">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15、应根据《生产安全事故应急预案管理办法》及企业制定的应急预案， </w:t>
      </w:r>
    </w:p>
    <w:p w14:paraId="2A6F0B26">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制定本单位的应急预案演练计划，根据本单位的事故风险特点，每年至少组 </w:t>
      </w:r>
    </w:p>
    <w:p w14:paraId="23C624F8">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织一次综合应急预案演练或者专项应急预案演练，每半年至少组织一次现场 </w:t>
      </w:r>
    </w:p>
    <w:p w14:paraId="62DC38CD">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处置方案演练。 </w:t>
      </w:r>
    </w:p>
    <w:p w14:paraId="7CC6514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16、应定期对应急物资、装备进行定期检测和维护，使其处于适用状态。 </w:t>
      </w:r>
    </w:p>
    <w:p w14:paraId="5C91586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17、应当加强安全生产费用管理，编制年度企业安全生产费用提取和使 </w:t>
      </w:r>
    </w:p>
    <w:p w14:paraId="2C93E2B1">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用计划，纳入企业财务预算，确保资金投入。 </w:t>
      </w:r>
    </w:p>
    <w:p w14:paraId="1FC250CE">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18、应当保证每年度安全生产所必需的资金投入。按照规定提取、使用 </w:t>
      </w:r>
    </w:p>
    <w:p w14:paraId="0953720C">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安全生产费用，在成本中据实列支，专门用于改善安全生产条件。</w:t>
      </w:r>
    </w:p>
    <w:p w14:paraId="231F4AD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p>
    <w:p w14:paraId="4DA794C9">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p>
    <w:p w14:paraId="761CE555">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p>
    <w:p w14:paraId="33676F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p>
    <w:p w14:paraId="68A2599C">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p>
    <w:p w14:paraId="4970C05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p>
    <w:p w14:paraId="6813ED7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p>
    <w:p w14:paraId="350F909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color w:val="000000"/>
          <w:kern w:val="0"/>
          <w:sz w:val="28"/>
          <w:szCs w:val="28"/>
          <w:lang w:val="en-US" w:eastAsia="zh-CN" w:bidi="ar"/>
        </w:rPr>
      </w:pPr>
    </w:p>
    <w:p w14:paraId="341C08DC">
      <w:pPr>
        <w:keepNext w:val="0"/>
        <w:keepLines w:val="0"/>
        <w:widowControl/>
        <w:suppressLineNumbers w:val="0"/>
        <w:jc w:val="center"/>
        <w:outlineLvl w:val="9"/>
        <w:rPr>
          <w:rFonts w:hint="eastAsia" w:ascii="宋体" w:hAnsi="宋体" w:eastAsia="宋体" w:cs="宋体"/>
          <w:b/>
          <w:bCs/>
          <w:color w:val="000000"/>
          <w:kern w:val="0"/>
          <w:sz w:val="36"/>
          <w:szCs w:val="36"/>
          <w:lang w:val="en-US" w:eastAsia="zh-CN" w:bidi="ar"/>
        </w:rPr>
      </w:pPr>
      <w:bookmarkStart w:id="262" w:name="_Toc4776"/>
    </w:p>
    <w:p w14:paraId="6053BE02">
      <w:pPr>
        <w:keepNext w:val="0"/>
        <w:keepLines w:val="0"/>
        <w:widowControl/>
        <w:suppressLineNumbers w:val="0"/>
        <w:jc w:val="center"/>
        <w:outlineLvl w:val="9"/>
        <w:rPr>
          <w:rFonts w:hint="eastAsia" w:ascii="宋体" w:hAnsi="宋体" w:eastAsia="宋体" w:cs="宋体"/>
          <w:b/>
          <w:bCs/>
          <w:color w:val="000000"/>
          <w:kern w:val="0"/>
          <w:sz w:val="36"/>
          <w:szCs w:val="36"/>
          <w:lang w:val="en-US" w:eastAsia="zh-CN" w:bidi="ar"/>
        </w:rPr>
      </w:pPr>
    </w:p>
    <w:p w14:paraId="279128E8">
      <w:pPr>
        <w:keepNext w:val="0"/>
        <w:keepLines w:val="0"/>
        <w:widowControl/>
        <w:suppressLineNumbers w:val="0"/>
        <w:jc w:val="center"/>
        <w:outlineLvl w:val="0"/>
        <w:rPr>
          <w:rFonts w:hint="eastAsia" w:ascii="宋体" w:hAnsi="宋体" w:eastAsia="宋体" w:cs="宋体"/>
          <w:sz w:val="36"/>
          <w:szCs w:val="36"/>
        </w:rPr>
      </w:pPr>
      <w:bookmarkStart w:id="263" w:name="_Toc10679"/>
      <w:r>
        <w:rPr>
          <w:rFonts w:hint="eastAsia" w:ascii="宋体" w:hAnsi="宋体" w:eastAsia="宋体" w:cs="宋体"/>
          <w:b/>
          <w:bCs/>
          <w:color w:val="000000"/>
          <w:kern w:val="0"/>
          <w:sz w:val="36"/>
          <w:szCs w:val="36"/>
          <w:lang w:val="en-US" w:eastAsia="zh-CN" w:bidi="ar"/>
        </w:rPr>
        <w:t>第 7 章 安全评价结论</w:t>
      </w:r>
      <w:bookmarkEnd w:id="262"/>
      <w:bookmarkEnd w:id="263"/>
    </w:p>
    <w:p w14:paraId="1548386A">
      <w:pPr>
        <w:keepNext w:val="0"/>
        <w:keepLines w:val="0"/>
        <w:pageBreakBefore w:val="0"/>
        <w:widowControl/>
        <w:suppressLineNumbers w:val="0"/>
        <w:kinsoku/>
        <w:wordWrap/>
        <w:overflowPunct/>
        <w:topLinePunct w:val="0"/>
        <w:autoSpaceDE/>
        <w:autoSpaceDN/>
        <w:bidi w:val="0"/>
        <w:adjustRightInd/>
        <w:snapToGrid/>
        <w:spacing w:line="600" w:lineRule="exact"/>
        <w:ind w:left="0" w:right="0"/>
        <w:jc w:val="left"/>
        <w:textAlignment w:val="auto"/>
        <w:outlineLvl w:val="1"/>
        <w:rPr>
          <w:rFonts w:hint="default" w:ascii="宋体" w:hAnsi="宋体" w:eastAsia="宋体" w:cs="宋体"/>
          <w:b/>
          <w:bCs/>
          <w:color w:val="000000"/>
          <w:kern w:val="0"/>
          <w:sz w:val="30"/>
          <w:szCs w:val="30"/>
          <w:lang w:val="en-US" w:eastAsia="zh-CN" w:bidi="ar"/>
        </w:rPr>
      </w:pPr>
      <w:bookmarkStart w:id="264" w:name="_Toc20131"/>
      <w:bookmarkStart w:id="265" w:name="_Toc32628"/>
      <w:r>
        <w:rPr>
          <w:rFonts w:hint="eastAsia" w:ascii="宋体" w:hAnsi="宋体" w:eastAsia="宋体" w:cs="宋体"/>
          <w:b/>
          <w:bCs/>
          <w:color w:val="000000"/>
          <w:kern w:val="0"/>
          <w:sz w:val="30"/>
          <w:szCs w:val="30"/>
          <w:lang w:val="en-US" w:eastAsia="zh-CN" w:bidi="ar"/>
        </w:rPr>
        <w:t>7.1 综合评述</w:t>
      </w:r>
      <w:bookmarkEnd w:id="264"/>
      <w:bookmarkEnd w:id="265"/>
    </w:p>
    <w:p w14:paraId="39BEF326">
      <w:pPr>
        <w:keepNext w:val="0"/>
        <w:keepLines w:val="0"/>
        <w:pageBreakBefore w:val="0"/>
        <w:kinsoku/>
        <w:wordWrap/>
        <w:overflowPunct/>
        <w:topLinePunct w:val="0"/>
        <w:autoSpaceDE/>
        <w:autoSpaceDN/>
        <w:bidi w:val="0"/>
        <w:adjustRightInd/>
        <w:snapToGrid/>
        <w:spacing w:line="600" w:lineRule="exact"/>
        <w:ind w:left="0" w:right="0" w:firstLine="559"/>
        <w:textAlignment w:val="auto"/>
        <w:rPr>
          <w:rFonts w:ascii="宋体" w:hAnsi="宋体" w:eastAsia="宋体" w:cs="宋体"/>
          <w:spacing w:val="-1"/>
          <w:sz w:val="28"/>
          <w:szCs w:val="28"/>
        </w:rPr>
      </w:pPr>
      <w:r>
        <w:rPr>
          <w:rFonts w:ascii="宋体" w:hAnsi="宋体" w:eastAsia="宋体" w:cs="宋体"/>
          <w:spacing w:val="-4"/>
          <w:sz w:val="28"/>
          <w:szCs w:val="28"/>
        </w:rPr>
        <w:t>根据前面各章的分析与评价，现将</w:t>
      </w:r>
      <w:r>
        <w:rPr>
          <w:rFonts w:hint="eastAsia" w:hAnsi="宋体" w:cs="宋体"/>
          <w:spacing w:val="-4"/>
          <w:sz w:val="28"/>
          <w:szCs w:val="28"/>
          <w:lang w:val="en-US" w:eastAsia="zh-CN"/>
        </w:rPr>
        <w:t>云南高机精密数控</w:t>
      </w:r>
      <w:r>
        <w:rPr>
          <w:rFonts w:hint="eastAsia" w:ascii="宋体" w:hAnsi="宋体" w:eastAsia="宋体" w:cs="宋体"/>
          <w:spacing w:val="-4"/>
          <w:sz w:val="28"/>
          <w:szCs w:val="28"/>
          <w:lang w:val="en-US" w:eastAsia="zh-CN"/>
        </w:rPr>
        <w:t>机床</w:t>
      </w:r>
      <w:r>
        <w:rPr>
          <w:rFonts w:ascii="宋体" w:hAnsi="宋体" w:eastAsia="宋体" w:cs="宋体"/>
          <w:spacing w:val="-4"/>
          <w:sz w:val="28"/>
          <w:szCs w:val="28"/>
        </w:rPr>
        <w:t>有限公司安</w:t>
      </w:r>
      <w:r>
        <w:rPr>
          <w:rFonts w:ascii="宋体" w:hAnsi="宋体" w:eastAsia="宋体" w:cs="宋体"/>
          <w:spacing w:val="-1"/>
          <w:sz w:val="28"/>
          <w:szCs w:val="28"/>
        </w:rPr>
        <w:t>全现状评价的情况总结如下：</w:t>
      </w:r>
    </w:p>
    <w:p w14:paraId="1A7BFD0F">
      <w:pPr>
        <w:spacing w:before="43" w:line="220" w:lineRule="auto"/>
        <w:ind w:left="605"/>
        <w:outlineLvl w:val="9"/>
        <w:rPr>
          <w:rFonts w:ascii="宋体" w:hAnsi="宋体" w:eastAsia="宋体" w:cs="宋体"/>
          <w:sz w:val="28"/>
          <w:szCs w:val="28"/>
        </w:rPr>
      </w:pPr>
      <w:r>
        <w:rPr>
          <w:rFonts w:ascii="宋体" w:hAnsi="宋体" w:eastAsia="宋体" w:cs="宋体"/>
          <w:spacing w:val="-3"/>
          <w:sz w:val="28"/>
          <w:szCs w:val="28"/>
        </w:rPr>
        <w:t>1、存在的主要危险、有害因素</w:t>
      </w:r>
      <w:r>
        <w:rPr>
          <w:rFonts w:hint="eastAsia" w:ascii="宋体" w:hAnsi="宋体" w:eastAsia="宋体" w:cs="宋体"/>
          <w:b/>
          <w:bCs/>
          <w:color w:val="000000"/>
          <w:kern w:val="0"/>
          <w:sz w:val="30"/>
          <w:szCs w:val="30"/>
          <w:lang w:val="en-US" w:eastAsia="zh-CN" w:bidi="ar"/>
        </w:rPr>
        <w:t xml:space="preserve"> </w:t>
      </w:r>
    </w:p>
    <w:p w14:paraId="5E68CD05">
      <w:pPr>
        <w:keepNext w:val="0"/>
        <w:keepLines w:val="0"/>
        <w:pageBreakBefore w:val="0"/>
        <w:widowControl/>
        <w:suppressLineNumbers w:val="0"/>
        <w:kinsoku/>
        <w:wordWrap/>
        <w:overflowPunct/>
        <w:topLinePunct w:val="0"/>
        <w:autoSpaceDE/>
        <w:autoSpaceDN/>
        <w:bidi w:val="0"/>
        <w:adjustRightInd/>
        <w:snapToGrid/>
        <w:spacing w:line="600" w:lineRule="exact"/>
        <w:ind w:left="0" w:right="0" w:firstLine="544" w:firstLineChars="200"/>
        <w:jc w:val="both"/>
        <w:textAlignment w:val="auto"/>
        <w:rPr>
          <w:rFonts w:hint="eastAsia" w:ascii="宋体" w:hAnsi="宋体" w:eastAsia="宋体" w:cs="宋体"/>
          <w:color w:val="000000"/>
          <w:sz w:val="28"/>
          <w:szCs w:val="28"/>
        </w:rPr>
      </w:pPr>
      <w:r>
        <w:rPr>
          <w:rFonts w:hint="eastAsia" w:ascii="宋体" w:hAnsi="宋体" w:eastAsia="宋体" w:cs="宋体"/>
          <w:spacing w:val="-4"/>
          <w:sz w:val="28"/>
          <w:szCs w:val="28"/>
        </w:rPr>
        <w:t>本项目生产过程中存在的危险因素有：</w:t>
      </w:r>
      <w:r>
        <w:rPr>
          <w:rFonts w:hint="eastAsia" w:ascii="宋体" w:hAnsi="宋体" w:eastAsia="宋体" w:cs="宋体"/>
          <w:color w:val="000000"/>
          <w:sz w:val="28"/>
          <w:szCs w:val="28"/>
          <w:lang w:val="en-US" w:eastAsia="zh-CN"/>
        </w:rPr>
        <w:t>物体打击、车辆伤害、机械伤害、起重伤害、触电、火灾、高处坠落、坍塌</w:t>
      </w:r>
      <w:r>
        <w:rPr>
          <w:rFonts w:hint="eastAsia" w:hAnsi="宋体" w:cs="宋体"/>
          <w:color w:val="000000"/>
          <w:sz w:val="28"/>
          <w:szCs w:val="28"/>
          <w:lang w:val="en-US" w:eastAsia="zh-CN"/>
        </w:rPr>
        <w:t>、容器爆炸</w:t>
      </w:r>
      <w:r>
        <w:rPr>
          <w:rFonts w:hint="eastAsia" w:ascii="宋体" w:hAnsi="宋体" w:eastAsia="宋体" w:cs="宋体"/>
          <w:color w:val="000000"/>
          <w:sz w:val="28"/>
          <w:szCs w:val="28"/>
        </w:rPr>
        <w:t>等。</w:t>
      </w:r>
    </w:p>
    <w:p w14:paraId="5CA33F19">
      <w:pPr>
        <w:keepNext w:val="0"/>
        <w:keepLines w:val="0"/>
        <w:pageBreakBefore w:val="0"/>
        <w:widowControl/>
        <w:suppressLineNumbers w:val="0"/>
        <w:kinsoku/>
        <w:wordWrap/>
        <w:overflowPunct/>
        <w:topLinePunct w:val="0"/>
        <w:autoSpaceDE/>
        <w:autoSpaceDN/>
        <w:bidi w:val="0"/>
        <w:adjustRightInd/>
        <w:snapToGrid/>
        <w:spacing w:line="600" w:lineRule="exact"/>
        <w:ind w:left="0" w:right="0" w:firstLine="544" w:firstLineChars="200"/>
        <w:jc w:val="both"/>
        <w:textAlignment w:val="auto"/>
        <w:rPr>
          <w:rFonts w:hint="eastAsia" w:ascii="宋体" w:hAnsi="宋体" w:eastAsia="宋体" w:cs="宋体"/>
          <w:sz w:val="28"/>
          <w:szCs w:val="28"/>
        </w:rPr>
      </w:pPr>
      <w:r>
        <w:rPr>
          <w:rFonts w:hint="eastAsia" w:ascii="宋体" w:hAnsi="宋体" w:eastAsia="宋体" w:cs="宋体"/>
          <w:spacing w:val="-4"/>
          <w:sz w:val="28"/>
          <w:szCs w:val="28"/>
        </w:rPr>
        <w:t>在上述这些危险因素中，发生频率较高的因素有：</w:t>
      </w:r>
      <w:r>
        <w:rPr>
          <w:rFonts w:hint="eastAsia" w:ascii="宋体" w:hAnsi="宋体" w:eastAsia="宋体" w:cs="宋体"/>
          <w:spacing w:val="-4"/>
          <w:sz w:val="28"/>
          <w:szCs w:val="28"/>
          <w:lang w:val="en-US" w:eastAsia="zh-CN"/>
        </w:rPr>
        <w:t>起重伤害、</w:t>
      </w:r>
      <w:r>
        <w:rPr>
          <w:rFonts w:hint="eastAsia" w:ascii="宋体" w:hAnsi="宋体" w:eastAsia="宋体" w:cs="宋体"/>
          <w:spacing w:val="-4"/>
          <w:sz w:val="28"/>
          <w:szCs w:val="28"/>
        </w:rPr>
        <w:t>机械伤害、火灾、触电等，对安全生产影响较大的因素</w:t>
      </w:r>
      <w:r>
        <w:rPr>
          <w:rFonts w:hint="eastAsia" w:ascii="宋体" w:hAnsi="宋体" w:eastAsia="宋体" w:cs="宋体"/>
          <w:spacing w:val="-4"/>
          <w:sz w:val="28"/>
          <w:szCs w:val="28"/>
          <w:lang w:val="en-US" w:eastAsia="zh-CN"/>
        </w:rPr>
        <w:t>有：起重伤害、</w:t>
      </w:r>
      <w:r>
        <w:rPr>
          <w:rFonts w:hint="eastAsia" w:ascii="宋体" w:hAnsi="宋体" w:eastAsia="宋体" w:cs="宋体"/>
          <w:spacing w:val="-4"/>
          <w:sz w:val="28"/>
          <w:szCs w:val="28"/>
        </w:rPr>
        <w:t>为机械</w:t>
      </w:r>
      <w:r>
        <w:rPr>
          <w:rFonts w:hint="eastAsia" w:ascii="宋体" w:hAnsi="宋体" w:eastAsia="宋体" w:cs="宋体"/>
          <w:spacing w:val="-9"/>
          <w:sz w:val="28"/>
          <w:szCs w:val="28"/>
        </w:rPr>
        <w:t>伤害</w:t>
      </w:r>
      <w:r>
        <w:rPr>
          <w:rFonts w:hint="eastAsia" w:ascii="宋体" w:hAnsi="宋体" w:eastAsia="宋体" w:cs="宋体"/>
          <w:spacing w:val="-9"/>
          <w:sz w:val="28"/>
          <w:szCs w:val="28"/>
          <w:lang w:eastAsia="zh-CN"/>
        </w:rPr>
        <w:t>。</w:t>
      </w:r>
      <w:r>
        <w:rPr>
          <w:rFonts w:hint="eastAsia" w:ascii="宋体" w:hAnsi="宋体" w:eastAsia="宋体" w:cs="宋体"/>
          <w:spacing w:val="-9"/>
          <w:sz w:val="28"/>
          <w:szCs w:val="28"/>
        </w:rPr>
        <w:t>根据重大危险源</w:t>
      </w:r>
      <w:r>
        <w:rPr>
          <w:rFonts w:hint="eastAsia" w:ascii="宋体" w:hAnsi="宋体" w:eastAsia="宋体" w:cs="宋体"/>
          <w:spacing w:val="-10"/>
          <w:sz w:val="28"/>
          <w:szCs w:val="28"/>
        </w:rPr>
        <w:t>辨识</w:t>
      </w:r>
      <w:r>
        <w:rPr>
          <w:rFonts w:hint="eastAsia" w:ascii="宋体" w:hAnsi="宋体" w:eastAsia="宋体" w:cs="宋体"/>
          <w:spacing w:val="-10"/>
          <w:sz w:val="28"/>
          <w:szCs w:val="28"/>
          <w:lang w:eastAsia="zh-CN"/>
        </w:rPr>
        <w:t>，</w:t>
      </w:r>
      <w:r>
        <w:rPr>
          <w:rFonts w:hint="eastAsia" w:ascii="宋体" w:hAnsi="宋体" w:eastAsia="宋体" w:cs="宋体"/>
          <w:spacing w:val="-1"/>
          <w:sz w:val="28"/>
          <w:szCs w:val="28"/>
        </w:rPr>
        <w:t>本项目不构成重大危险源。</w:t>
      </w:r>
    </w:p>
    <w:p w14:paraId="214026F3">
      <w:pPr>
        <w:keepNext w:val="0"/>
        <w:keepLines w:val="0"/>
        <w:pageBreakBefore w:val="0"/>
        <w:widowControl w:val="0"/>
        <w:kinsoku/>
        <w:wordWrap/>
        <w:overflowPunct/>
        <w:topLinePunct w:val="0"/>
        <w:autoSpaceDE/>
        <w:autoSpaceDN/>
        <w:bidi w:val="0"/>
        <w:adjustRightInd/>
        <w:snapToGrid/>
        <w:spacing w:before="41" w:line="600" w:lineRule="exact"/>
        <w:ind w:left="30" w:right="125" w:firstLine="560"/>
        <w:jc w:val="both"/>
        <w:textAlignment w:val="auto"/>
        <w:rPr>
          <w:rFonts w:ascii="宋体" w:hAnsi="宋体" w:eastAsia="宋体" w:cs="宋体"/>
          <w:sz w:val="28"/>
          <w:szCs w:val="28"/>
        </w:rPr>
      </w:pPr>
      <w:r>
        <w:rPr>
          <w:rFonts w:ascii="宋体" w:hAnsi="宋体" w:eastAsia="宋体" w:cs="宋体"/>
          <w:spacing w:val="-4"/>
          <w:sz w:val="28"/>
          <w:szCs w:val="28"/>
        </w:rPr>
        <w:t>结合采用的预先危险性、安全检查表等方法对本项目的危险、有害因素分析评价结果，本项目的较大的危险因素，主要分布于生产车间各作业区域。企业应重点针对生产车间</w:t>
      </w:r>
      <w:r>
        <w:rPr>
          <w:rFonts w:ascii="宋体" w:hAnsi="宋体" w:eastAsia="宋体" w:cs="宋体"/>
          <w:spacing w:val="-2"/>
          <w:sz w:val="28"/>
          <w:szCs w:val="28"/>
        </w:rPr>
        <w:t>采取相应的安全防护措施。</w:t>
      </w:r>
    </w:p>
    <w:p w14:paraId="6BAE75A2">
      <w:pPr>
        <w:keepNext w:val="0"/>
        <w:keepLines w:val="0"/>
        <w:pageBreakBefore w:val="0"/>
        <w:widowControl w:val="0"/>
        <w:kinsoku/>
        <w:wordWrap/>
        <w:overflowPunct/>
        <w:topLinePunct w:val="0"/>
        <w:autoSpaceDE/>
        <w:autoSpaceDN/>
        <w:bidi w:val="0"/>
        <w:adjustRightInd/>
        <w:snapToGrid/>
        <w:spacing w:line="600" w:lineRule="exact"/>
        <w:ind w:left="0" w:firstLine="552" w:firstLineChars="200"/>
        <w:textAlignment w:val="auto"/>
        <w:outlineLvl w:val="9"/>
        <w:rPr>
          <w:rFonts w:ascii="宋体" w:hAnsi="宋体" w:eastAsia="宋体" w:cs="宋体"/>
          <w:color w:val="000000" w:themeColor="text1"/>
          <w:sz w:val="28"/>
          <w:szCs w:val="28"/>
          <w:shd w:val="clear" w:color="auto" w:fill="auto"/>
          <w14:textFill>
            <w14:solidFill>
              <w14:schemeClr w14:val="tx1"/>
            </w14:solidFill>
          </w14:textFill>
        </w:rPr>
      </w:pPr>
      <w:r>
        <w:rPr>
          <w:rFonts w:ascii="宋体" w:hAnsi="宋体" w:eastAsia="宋体" w:cs="宋体"/>
          <w:color w:val="000000" w:themeColor="text1"/>
          <w:spacing w:val="-2"/>
          <w:sz w:val="28"/>
          <w:szCs w:val="28"/>
          <w:shd w:val="clear" w:color="auto" w:fill="auto"/>
          <w14:textFill>
            <w14:solidFill>
              <w14:schemeClr w14:val="tx1"/>
            </w14:solidFill>
          </w14:textFill>
        </w:rPr>
        <w:t>2、各单元评价结论</w:t>
      </w:r>
    </w:p>
    <w:p w14:paraId="1052E432">
      <w:pPr>
        <w:keepNext w:val="0"/>
        <w:keepLines w:val="0"/>
        <w:pageBreakBefore w:val="0"/>
        <w:widowControl w:val="0"/>
        <w:kinsoku/>
        <w:wordWrap/>
        <w:overflowPunct/>
        <w:topLinePunct w:val="0"/>
        <w:autoSpaceDE/>
        <w:autoSpaceDN/>
        <w:bidi w:val="0"/>
        <w:adjustRightInd/>
        <w:snapToGrid/>
        <w:spacing w:line="600" w:lineRule="exact"/>
        <w:ind w:left="0" w:firstLine="552" w:firstLineChars="200"/>
        <w:textAlignment w:val="auto"/>
        <w:rPr>
          <w:rFonts w:ascii="宋体" w:hAnsi="宋体" w:eastAsia="宋体" w:cs="宋体"/>
          <w:sz w:val="28"/>
          <w:szCs w:val="28"/>
        </w:rPr>
      </w:pPr>
      <w:r>
        <w:rPr>
          <w:rFonts w:ascii="宋体" w:hAnsi="宋体" w:eastAsia="宋体" w:cs="宋体"/>
          <w:spacing w:val="-2"/>
          <w:sz w:val="28"/>
          <w:szCs w:val="28"/>
        </w:rPr>
        <w:t>（1）选址及总平面布置评价结论</w:t>
      </w:r>
    </w:p>
    <w:p w14:paraId="7B1DD2D0">
      <w:pPr>
        <w:keepNext w:val="0"/>
        <w:keepLines w:val="0"/>
        <w:pageBreakBefore w:val="0"/>
        <w:widowControl w:val="0"/>
        <w:kinsoku/>
        <w:wordWrap/>
        <w:overflowPunct/>
        <w:topLinePunct w:val="0"/>
        <w:autoSpaceDE/>
        <w:autoSpaceDN/>
        <w:bidi w:val="0"/>
        <w:adjustRightInd/>
        <w:snapToGrid/>
        <w:spacing w:line="600" w:lineRule="exact"/>
        <w:ind w:left="0" w:firstLine="524" w:firstLineChars="200"/>
        <w:jc w:val="both"/>
        <w:textAlignment w:val="auto"/>
        <w:rPr>
          <w:rFonts w:ascii="宋体" w:hAnsi="宋体" w:eastAsia="宋体" w:cs="宋体"/>
          <w:spacing w:val="-1"/>
          <w:sz w:val="28"/>
          <w:szCs w:val="28"/>
        </w:rPr>
      </w:pPr>
      <w:r>
        <w:rPr>
          <w:rFonts w:ascii="宋体" w:hAnsi="宋体" w:eastAsia="宋体" w:cs="宋体"/>
          <w:spacing w:val="-9"/>
          <w:sz w:val="28"/>
          <w:szCs w:val="28"/>
        </w:rPr>
        <w:t>本项目选址符合当地建设规划，符合《工业企业总平面设计规范》</w:t>
      </w:r>
      <w:r>
        <w:rPr>
          <w:rFonts w:ascii="宋体" w:hAnsi="宋体" w:eastAsia="宋体" w:cs="宋体"/>
          <w:spacing w:val="3"/>
          <w:sz w:val="28"/>
          <w:szCs w:val="28"/>
        </w:rPr>
        <w:t xml:space="preserve"> </w:t>
      </w:r>
      <w:r>
        <w:rPr>
          <w:rFonts w:ascii="宋体" w:hAnsi="宋体" w:eastAsia="宋体" w:cs="宋体"/>
          <w:spacing w:val="11"/>
          <w:sz w:val="28"/>
          <w:szCs w:val="28"/>
        </w:rPr>
        <w:t>（</w:t>
      </w:r>
      <w:r>
        <w:rPr>
          <w:rFonts w:ascii="宋体" w:hAnsi="宋体" w:eastAsia="宋体" w:cs="宋体"/>
          <w:sz w:val="28"/>
          <w:szCs w:val="28"/>
        </w:rPr>
        <w:t>GB</w:t>
      </w:r>
      <w:r>
        <w:rPr>
          <w:rFonts w:ascii="宋体" w:hAnsi="宋体" w:eastAsia="宋体" w:cs="宋体"/>
          <w:spacing w:val="11"/>
          <w:sz w:val="28"/>
          <w:szCs w:val="28"/>
        </w:rPr>
        <w:t>50187-2012）</w:t>
      </w:r>
      <w:r>
        <w:rPr>
          <w:rFonts w:ascii="宋体" w:hAnsi="宋体" w:eastAsia="宋体" w:cs="宋体"/>
          <w:spacing w:val="-69"/>
          <w:sz w:val="28"/>
          <w:szCs w:val="28"/>
        </w:rPr>
        <w:t xml:space="preserve"> </w:t>
      </w:r>
      <w:r>
        <w:rPr>
          <w:rFonts w:ascii="宋体" w:hAnsi="宋体" w:eastAsia="宋体" w:cs="宋体"/>
          <w:spacing w:val="11"/>
          <w:sz w:val="28"/>
          <w:szCs w:val="28"/>
        </w:rPr>
        <w:t>、《工业企业厂内铁路、道路运输安全规</w:t>
      </w:r>
      <w:r>
        <w:rPr>
          <w:rFonts w:ascii="宋体" w:hAnsi="宋体" w:eastAsia="宋体" w:cs="宋体"/>
          <w:spacing w:val="10"/>
          <w:sz w:val="28"/>
          <w:szCs w:val="28"/>
        </w:rPr>
        <w:t>程》</w:t>
      </w:r>
      <w:r>
        <w:rPr>
          <w:rFonts w:ascii="宋体" w:hAnsi="宋体" w:eastAsia="宋体" w:cs="宋体"/>
          <w:sz w:val="28"/>
          <w:szCs w:val="28"/>
        </w:rPr>
        <w:t xml:space="preserve">  </w:t>
      </w:r>
      <w:r>
        <w:rPr>
          <w:rFonts w:ascii="宋体" w:hAnsi="宋体" w:eastAsia="宋体" w:cs="宋体"/>
          <w:spacing w:val="-3"/>
          <w:sz w:val="28"/>
          <w:szCs w:val="28"/>
        </w:rPr>
        <w:t>（GB4387-2008）和《建筑设计防火规范》（GB50016-2014）的要求。</w:t>
      </w:r>
      <w:r>
        <w:rPr>
          <w:rFonts w:ascii="宋体" w:hAnsi="宋体" w:eastAsia="宋体" w:cs="宋体"/>
          <w:spacing w:val="-4"/>
          <w:sz w:val="28"/>
          <w:szCs w:val="28"/>
        </w:rPr>
        <w:t>场地周边水源、电源等均能满足企业生产需要，场地工程地质和水文地质较简单，满足建设要求。厂址与周边企业、居住点等均保持有一定防护距离。厂区总平面布置有利于生产，各建（构）筑物按功能分</w:t>
      </w:r>
      <w:r>
        <w:rPr>
          <w:rFonts w:ascii="宋体" w:hAnsi="宋体" w:eastAsia="宋体" w:cs="宋体"/>
          <w:spacing w:val="-1"/>
          <w:sz w:val="28"/>
          <w:szCs w:val="28"/>
        </w:rPr>
        <w:t>区，生产工艺流程短捷便利，整体布局基本合理。</w:t>
      </w:r>
    </w:p>
    <w:p w14:paraId="499CA35B">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rPr>
          <w:rFonts w:hint="eastAsia" w:ascii="宋体" w:hAnsi="宋体" w:eastAsia="宋体" w:cs="宋体"/>
          <w:spacing w:val="0"/>
          <w:sz w:val="28"/>
          <w:szCs w:val="28"/>
        </w:rPr>
      </w:pPr>
      <w:r>
        <w:rPr>
          <w:rFonts w:hint="eastAsia" w:ascii="宋体" w:hAnsi="宋体" w:eastAsia="宋体" w:cs="宋体"/>
          <w:spacing w:val="0"/>
          <w:sz w:val="28"/>
          <w:szCs w:val="28"/>
          <w:lang w:eastAsia="zh-CN"/>
        </w:rPr>
        <w:t>（</w:t>
      </w:r>
      <w:r>
        <w:rPr>
          <w:rFonts w:hint="eastAsia" w:ascii="宋体" w:hAnsi="宋体" w:eastAsia="宋体" w:cs="宋体"/>
          <w:spacing w:val="0"/>
          <w:sz w:val="28"/>
          <w:szCs w:val="28"/>
          <w:lang w:val="en-US" w:eastAsia="zh-CN"/>
        </w:rPr>
        <w:t>2）</w:t>
      </w:r>
      <w:r>
        <w:rPr>
          <w:rFonts w:hint="eastAsia" w:ascii="宋体" w:hAnsi="宋体" w:eastAsia="宋体" w:cs="宋体"/>
          <w:color w:val="000000"/>
          <w:spacing w:val="0"/>
          <w:kern w:val="0"/>
          <w:sz w:val="28"/>
          <w:szCs w:val="28"/>
          <w:lang w:val="en-US" w:eastAsia="zh-CN" w:bidi="ar"/>
        </w:rPr>
        <w:t>建（构）筑物单元</w:t>
      </w:r>
      <w:r>
        <w:rPr>
          <w:rFonts w:ascii="宋体" w:hAnsi="宋体" w:eastAsia="宋体" w:cs="宋体"/>
          <w:spacing w:val="-2"/>
          <w:sz w:val="28"/>
          <w:szCs w:val="28"/>
        </w:rPr>
        <w:t>评价结论</w:t>
      </w:r>
      <w:r>
        <w:rPr>
          <w:rFonts w:hint="eastAsia" w:ascii="宋体" w:hAnsi="宋体" w:eastAsia="宋体" w:cs="宋体"/>
          <w:color w:val="000000"/>
          <w:spacing w:val="0"/>
          <w:kern w:val="0"/>
          <w:sz w:val="28"/>
          <w:szCs w:val="28"/>
          <w:lang w:val="en-US" w:eastAsia="zh-CN" w:bidi="ar"/>
        </w:rPr>
        <w:t xml:space="preserve"> </w:t>
      </w:r>
    </w:p>
    <w:p w14:paraId="2D4F38A4">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pacing w:val="0"/>
          <w:sz w:val="28"/>
          <w:szCs w:val="28"/>
          <w:lang w:val="en-US" w:eastAsia="zh-CN"/>
        </w:rPr>
      </w:pPr>
      <w:r>
        <w:rPr>
          <w:rFonts w:hint="eastAsia" w:ascii="宋体" w:hAnsi="宋体" w:eastAsia="宋体" w:cs="宋体"/>
          <w:color w:val="000000"/>
          <w:spacing w:val="0"/>
          <w:kern w:val="0"/>
          <w:sz w:val="28"/>
          <w:szCs w:val="28"/>
          <w:lang w:val="en-US" w:eastAsia="zh-CN" w:bidi="ar"/>
        </w:rPr>
        <w:t>本项目建（构）筑物单元符合《建筑与市政工程抗震通用规范》（GB55002-2021）、《建筑防火通用规范》（GB55037-2022）、《机械工业厂房建筑设计规范》（GB50681-2011）等相关要求，满足安全生产要求。</w:t>
      </w:r>
    </w:p>
    <w:p w14:paraId="49CD795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left"/>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w:t>
      </w:r>
      <w:r>
        <w:rPr>
          <w:rFonts w:hint="eastAsia" w:hAnsi="宋体" w:cs="宋体"/>
          <w:color w:val="000000"/>
          <w:kern w:val="0"/>
          <w:sz w:val="28"/>
          <w:szCs w:val="28"/>
          <w:lang w:val="en-US" w:eastAsia="zh-CN" w:bidi="ar"/>
        </w:rPr>
        <w:t>3</w:t>
      </w:r>
      <w:r>
        <w:rPr>
          <w:rFonts w:hint="eastAsia" w:ascii="宋体" w:hAnsi="宋体" w:eastAsia="宋体" w:cs="宋体"/>
          <w:color w:val="000000"/>
          <w:kern w:val="0"/>
          <w:sz w:val="28"/>
          <w:szCs w:val="28"/>
          <w:lang w:val="en-US" w:eastAsia="zh-CN" w:bidi="ar"/>
        </w:rPr>
        <w:t xml:space="preserve">）生产工艺及设施设备评价结论 </w:t>
      </w:r>
    </w:p>
    <w:p w14:paraId="3DCDB573">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本项目生产工艺简单，设备选型先进、合理，符合《中华人民共和国安 </w:t>
      </w:r>
    </w:p>
    <w:p w14:paraId="357F9DE8">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ascii="宋体" w:hAnsi="宋体" w:eastAsia="宋体" w:cs="宋体"/>
          <w:spacing w:val="-1"/>
          <w:sz w:val="28"/>
          <w:szCs w:val="28"/>
        </w:rPr>
      </w:pPr>
      <w:r>
        <w:rPr>
          <w:rFonts w:hint="eastAsia" w:ascii="宋体" w:hAnsi="宋体" w:eastAsia="宋体" w:cs="宋体"/>
          <w:color w:val="000000"/>
          <w:kern w:val="0"/>
          <w:sz w:val="28"/>
          <w:szCs w:val="28"/>
          <w:lang w:val="en-US" w:eastAsia="zh-CN" w:bidi="ar"/>
        </w:rPr>
        <w:t>全生产法》、《生产设备安全卫生设计总则》（GB5083-</w:t>
      </w:r>
      <w:r>
        <w:rPr>
          <w:rFonts w:hint="eastAsia" w:hAnsi="宋体" w:cs="宋体"/>
          <w:color w:val="000000"/>
          <w:kern w:val="0"/>
          <w:sz w:val="28"/>
          <w:szCs w:val="28"/>
          <w:lang w:val="en-US" w:eastAsia="zh-CN" w:bidi="ar"/>
        </w:rPr>
        <w:t>2023</w:t>
      </w:r>
      <w:r>
        <w:rPr>
          <w:rFonts w:hint="eastAsia" w:ascii="宋体" w:hAnsi="宋体" w:eastAsia="宋体" w:cs="宋体"/>
          <w:color w:val="000000"/>
          <w:kern w:val="0"/>
          <w:sz w:val="28"/>
          <w:szCs w:val="28"/>
          <w:lang w:val="en-US" w:eastAsia="zh-CN" w:bidi="ar"/>
        </w:rPr>
        <w:t>）、《生产过程安全卫生要求总则》（GB/T 12801-2008）、《手持式电动工具的管理、使用、检查和维修安全技术规程》（GB/T3787-2017）等标准规范中的相关内容规定，符合安全生产的基本要求。</w:t>
      </w:r>
    </w:p>
    <w:p w14:paraId="0BEAA029">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default" w:ascii="宋体" w:hAnsi="宋体" w:eastAsia="宋体" w:cs="宋体"/>
          <w:sz w:val="28"/>
          <w:szCs w:val="28"/>
          <w:lang w:val="en-US"/>
        </w:rPr>
      </w:pPr>
      <w:r>
        <w:rPr>
          <w:rFonts w:hint="eastAsia" w:ascii="宋体" w:hAnsi="宋体" w:eastAsia="宋体" w:cs="宋体"/>
          <w:color w:val="000000"/>
          <w:kern w:val="0"/>
          <w:sz w:val="28"/>
          <w:szCs w:val="28"/>
          <w:lang w:val="en-US" w:eastAsia="zh-CN" w:bidi="ar"/>
        </w:rPr>
        <w:t>（</w:t>
      </w:r>
      <w:r>
        <w:rPr>
          <w:rFonts w:hint="eastAsia" w:hAnsi="宋体" w:cs="宋体"/>
          <w:color w:val="000000"/>
          <w:kern w:val="0"/>
          <w:sz w:val="28"/>
          <w:szCs w:val="28"/>
          <w:lang w:val="en-US" w:eastAsia="zh-CN" w:bidi="ar"/>
        </w:rPr>
        <w:t>4</w:t>
      </w:r>
      <w:r>
        <w:rPr>
          <w:rFonts w:hint="eastAsia" w:ascii="宋体" w:hAnsi="宋体" w:eastAsia="宋体" w:cs="宋体"/>
          <w:color w:val="000000"/>
          <w:kern w:val="0"/>
          <w:sz w:val="28"/>
          <w:szCs w:val="28"/>
          <w:lang w:val="en-US" w:eastAsia="zh-CN" w:bidi="ar"/>
        </w:rPr>
        <w:t>）公用工程和辅助设施评价结论</w:t>
      </w:r>
    </w:p>
    <w:p w14:paraId="4A58647F">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本项目给排水、供配电系统、供气、消防设施、物料储存等符合《工业 </w:t>
      </w:r>
    </w:p>
    <w:p w14:paraId="3EC11AB5">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企业总平面设计规范》（ GB50187-2012 ） 、《消防设施通用规范》 （GB55036-2022）及《建筑灭火器配置设计规范》（GB50140-2005）、《用 </w:t>
      </w:r>
    </w:p>
    <w:p w14:paraId="67441932">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电安全导则》（GB/T13869－2017）等规范标准中的相关内容的规定，能满足安全生产要求。 </w:t>
      </w:r>
    </w:p>
    <w:p w14:paraId="6540247B">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w:t>
      </w:r>
      <w:r>
        <w:rPr>
          <w:rFonts w:hint="eastAsia" w:hAnsi="宋体" w:cs="宋体"/>
          <w:color w:val="000000"/>
          <w:kern w:val="0"/>
          <w:sz w:val="28"/>
          <w:szCs w:val="28"/>
          <w:lang w:val="en-US" w:eastAsia="zh-CN" w:bidi="ar"/>
        </w:rPr>
        <w:t>5</w:t>
      </w:r>
      <w:r>
        <w:rPr>
          <w:rFonts w:hint="eastAsia" w:ascii="宋体" w:hAnsi="宋体" w:eastAsia="宋体" w:cs="宋体"/>
          <w:color w:val="000000"/>
          <w:kern w:val="0"/>
          <w:sz w:val="28"/>
          <w:szCs w:val="28"/>
          <w:lang w:val="en-US" w:eastAsia="zh-CN" w:bidi="ar"/>
        </w:rPr>
        <w:t xml:space="preserve">）安全管理评价结论 </w:t>
      </w:r>
    </w:p>
    <w:p w14:paraId="09FE742D">
      <w:pPr>
        <w:keepNext w:val="0"/>
        <w:keepLines w:val="0"/>
        <w:pageBreakBefore w:val="0"/>
        <w:widowControl/>
        <w:suppressLineNumbers w:val="0"/>
        <w:kinsoku/>
        <w:wordWrap/>
        <w:overflowPunct/>
        <w:topLinePunct w:val="0"/>
        <w:autoSpaceDE/>
        <w:autoSpaceDN/>
        <w:bidi w:val="0"/>
        <w:adjustRightInd/>
        <w:snapToGrid/>
        <w:spacing w:line="600" w:lineRule="exact"/>
        <w:ind w:firstLine="560" w:firstLineChars="200"/>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通过安全检查分析与企业整改，该企业安全管理现状符合《中华人民共 </w:t>
      </w:r>
    </w:p>
    <w:p w14:paraId="2073A071">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和国安全生产法》、《云南省安全生产条例》和《生产安全事故应急预案管 </w:t>
      </w:r>
    </w:p>
    <w:p w14:paraId="021E75BA">
      <w:pPr>
        <w:keepNext w:val="0"/>
        <w:keepLines w:val="0"/>
        <w:pageBreakBefore w:val="0"/>
        <w:widowControl/>
        <w:suppressLineNumbers w:val="0"/>
        <w:kinsoku/>
        <w:wordWrap/>
        <w:overflowPunct/>
        <w:topLinePunct w:val="0"/>
        <w:autoSpaceDE/>
        <w:autoSpaceDN/>
        <w:bidi w:val="0"/>
        <w:adjustRightInd/>
        <w:snapToGrid/>
        <w:spacing w:line="600" w:lineRule="exact"/>
        <w:jc w:val="both"/>
        <w:textAlignment w:val="auto"/>
        <w:rPr>
          <w:rFonts w:hint="eastAsia" w:ascii="宋体" w:hAnsi="宋体" w:eastAsia="宋体" w:cs="宋体"/>
          <w:sz w:val="28"/>
          <w:szCs w:val="28"/>
        </w:rPr>
      </w:pPr>
      <w:r>
        <w:rPr>
          <w:rFonts w:hint="eastAsia" w:ascii="宋体" w:hAnsi="宋体" w:eastAsia="宋体" w:cs="宋体"/>
          <w:color w:val="000000"/>
          <w:kern w:val="0"/>
          <w:sz w:val="28"/>
          <w:szCs w:val="28"/>
          <w:lang w:val="en-US" w:eastAsia="zh-CN" w:bidi="ar"/>
        </w:rPr>
        <w:t xml:space="preserve">理办法》等法律法规、标准规范的要求。本项目不存在《工贸企业重大事故 </w:t>
      </w:r>
    </w:p>
    <w:p w14:paraId="6D62E700">
      <w:pPr>
        <w:keepNext w:val="0"/>
        <w:keepLines w:val="0"/>
        <w:pageBreakBefore w:val="0"/>
        <w:widowControl/>
        <w:suppressLineNumbers w:val="0"/>
        <w:kinsoku/>
        <w:wordWrap/>
        <w:overflowPunct/>
        <w:topLinePunct w:val="0"/>
        <w:autoSpaceDE/>
        <w:autoSpaceDN/>
        <w:bidi w:val="0"/>
        <w:adjustRightInd/>
        <w:snapToGrid/>
        <w:spacing w:line="600" w:lineRule="exact"/>
        <w:ind w:left="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隐患判定标准》（中华人民共和国应急管理部令第 10 号）所列的重大生产安全事故隐患。</w:t>
      </w:r>
    </w:p>
    <w:p w14:paraId="37D37540">
      <w:pPr>
        <w:keepNext w:val="0"/>
        <w:keepLines w:val="0"/>
        <w:pageBreakBefore w:val="0"/>
        <w:widowControl/>
        <w:suppressLineNumbers w:val="0"/>
        <w:kinsoku/>
        <w:wordWrap/>
        <w:overflowPunct/>
        <w:topLinePunct w:val="0"/>
        <w:autoSpaceDE/>
        <w:autoSpaceDN/>
        <w:bidi w:val="0"/>
        <w:adjustRightInd/>
        <w:snapToGrid/>
        <w:spacing w:line="600" w:lineRule="exact"/>
        <w:ind w:left="0" w:firstLine="560" w:firstLineChars="200"/>
        <w:jc w:val="both"/>
        <w:textAlignment w:val="auto"/>
        <w:rPr>
          <w:rFonts w:hint="eastAsia" w:ascii="宋体" w:hAnsi="宋体" w:eastAsia="宋体" w:cs="宋体"/>
          <w:color w:val="000000"/>
          <w:kern w:val="0"/>
          <w:sz w:val="28"/>
          <w:szCs w:val="28"/>
          <w:lang w:val="en-US" w:eastAsia="zh-CN" w:bidi="ar"/>
        </w:rPr>
      </w:pPr>
      <w:r>
        <w:rPr>
          <w:rFonts w:hint="eastAsia" w:ascii="宋体" w:hAnsi="宋体" w:eastAsia="宋体" w:cs="宋体"/>
          <w:color w:val="000000"/>
          <w:kern w:val="0"/>
          <w:sz w:val="28"/>
          <w:szCs w:val="28"/>
          <w:lang w:val="en-US" w:eastAsia="zh-CN" w:bidi="ar"/>
        </w:rPr>
        <w:t>（6）重大事故隐患检查单元</w:t>
      </w:r>
    </w:p>
    <w:p w14:paraId="7EDDE4D5">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outlineLvl w:val="9"/>
        <w:rPr>
          <w:rFonts w:hint="default" w:ascii="宋体" w:hAnsi="宋体" w:eastAsia="宋体" w:cs="宋体"/>
          <w:b/>
          <w:bCs/>
          <w:spacing w:val="2"/>
          <w:sz w:val="28"/>
          <w:szCs w:val="28"/>
          <w:lang w:val="en-US" w:eastAsia="zh-CN"/>
        </w:rPr>
      </w:pPr>
      <w:r>
        <w:rPr>
          <w:rFonts w:hint="eastAsia" w:ascii="宋体" w:hAnsi="宋体" w:eastAsia="宋体" w:cs="宋体"/>
          <w:color w:val="000000"/>
          <w:kern w:val="0"/>
          <w:sz w:val="28"/>
          <w:szCs w:val="28"/>
          <w:lang w:val="en-US" w:eastAsia="zh-CN" w:bidi="ar"/>
        </w:rPr>
        <w:t>根据《工贸企业重大事故隐患判定标准》（中华人民共和国应急管理部令第 10 号）及《工贸企业重大事故隐患判定标准》解读等文件，并结合现场踏勘情况</w:t>
      </w:r>
      <w:r>
        <w:rPr>
          <w:rFonts w:hint="eastAsia" w:hAnsi="宋体" w:cs="宋体"/>
          <w:color w:val="000000"/>
          <w:kern w:val="0"/>
          <w:sz w:val="28"/>
          <w:szCs w:val="28"/>
          <w:lang w:val="en-US" w:eastAsia="zh-CN" w:bidi="ar"/>
        </w:rPr>
        <w:t>，该企业无安全重大隐患。</w:t>
      </w:r>
    </w:p>
    <w:p w14:paraId="77E2BA19">
      <w:pPr>
        <w:keepNext w:val="0"/>
        <w:keepLines w:val="0"/>
        <w:pageBreakBefore w:val="0"/>
        <w:kinsoku/>
        <w:wordWrap/>
        <w:overflowPunct/>
        <w:topLinePunct w:val="0"/>
        <w:autoSpaceDE/>
        <w:autoSpaceDN/>
        <w:bidi w:val="0"/>
        <w:adjustRightInd/>
        <w:snapToGrid/>
        <w:spacing w:line="600" w:lineRule="exact"/>
        <w:ind w:left="0"/>
        <w:textAlignment w:val="auto"/>
        <w:outlineLvl w:val="1"/>
        <w:rPr>
          <w:rFonts w:ascii="宋体" w:hAnsi="宋体" w:eastAsia="宋体" w:cs="宋体"/>
          <w:b/>
          <w:bCs/>
          <w:spacing w:val="2"/>
          <w:sz w:val="28"/>
          <w:szCs w:val="28"/>
        </w:rPr>
      </w:pPr>
      <w:bookmarkStart w:id="266" w:name="_Toc21839"/>
      <w:bookmarkStart w:id="267" w:name="_Toc7392"/>
      <w:r>
        <w:rPr>
          <w:rFonts w:hint="eastAsia" w:ascii="宋体" w:hAnsi="宋体" w:eastAsia="宋体" w:cs="宋体"/>
          <w:b/>
          <w:bCs/>
          <w:spacing w:val="2"/>
          <w:sz w:val="28"/>
          <w:szCs w:val="28"/>
          <w:lang w:val="en-US" w:eastAsia="zh-CN"/>
        </w:rPr>
        <w:t>7</w:t>
      </w:r>
      <w:r>
        <w:rPr>
          <w:rFonts w:ascii="宋体" w:hAnsi="宋体" w:eastAsia="宋体" w:cs="宋体"/>
          <w:b/>
          <w:bCs/>
          <w:spacing w:val="2"/>
          <w:sz w:val="28"/>
          <w:szCs w:val="28"/>
        </w:rPr>
        <w:t>.2</w:t>
      </w:r>
      <w:r>
        <w:rPr>
          <w:rFonts w:ascii="宋体" w:hAnsi="宋体" w:eastAsia="宋体" w:cs="宋体"/>
          <w:spacing w:val="-54"/>
          <w:sz w:val="28"/>
          <w:szCs w:val="28"/>
        </w:rPr>
        <w:t xml:space="preserve"> </w:t>
      </w:r>
      <w:r>
        <w:rPr>
          <w:rFonts w:ascii="宋体" w:hAnsi="宋体" w:eastAsia="宋体" w:cs="宋体"/>
          <w:b/>
          <w:bCs/>
          <w:spacing w:val="2"/>
          <w:sz w:val="28"/>
          <w:szCs w:val="28"/>
        </w:rPr>
        <w:t>总体评价结论</w:t>
      </w:r>
      <w:bookmarkEnd w:id="266"/>
      <w:bookmarkEnd w:id="267"/>
    </w:p>
    <w:p w14:paraId="6FB3282F">
      <w:pPr>
        <w:keepNext w:val="0"/>
        <w:keepLines w:val="0"/>
        <w:pageBreakBefore w:val="0"/>
        <w:widowControl w:val="0"/>
        <w:kinsoku/>
        <w:wordWrap/>
        <w:overflowPunct/>
        <w:topLinePunct w:val="0"/>
        <w:autoSpaceDE/>
        <w:autoSpaceDN/>
        <w:bidi w:val="0"/>
        <w:adjustRightInd/>
        <w:snapToGrid/>
        <w:spacing w:line="600" w:lineRule="exact"/>
        <w:ind w:firstLine="548" w:firstLineChars="200"/>
        <w:textAlignment w:val="auto"/>
        <w:rPr>
          <w:rFonts w:ascii="宋体" w:hAnsi="宋体" w:eastAsia="宋体" w:cs="宋体"/>
          <w:spacing w:val="-11"/>
          <w:sz w:val="28"/>
          <w:szCs w:val="28"/>
        </w:rPr>
      </w:pPr>
      <w:r>
        <w:rPr>
          <w:rFonts w:ascii="宋体" w:hAnsi="宋体" w:eastAsia="宋体" w:cs="宋体"/>
          <w:spacing w:val="-3"/>
          <w:sz w:val="28"/>
          <w:szCs w:val="28"/>
        </w:rPr>
        <w:t>受</w:t>
      </w:r>
      <w:r>
        <w:rPr>
          <w:rFonts w:hint="eastAsia" w:hAnsi="宋体" w:cs="宋体"/>
          <w:spacing w:val="-3"/>
          <w:sz w:val="28"/>
          <w:szCs w:val="28"/>
          <w:lang w:val="en-US" w:eastAsia="zh-CN"/>
        </w:rPr>
        <w:t>云南高机精密数控机床</w:t>
      </w:r>
      <w:r>
        <w:rPr>
          <w:rFonts w:ascii="宋体" w:hAnsi="宋体" w:eastAsia="宋体" w:cs="宋体"/>
          <w:spacing w:val="-3"/>
          <w:sz w:val="28"/>
          <w:szCs w:val="28"/>
        </w:rPr>
        <w:t>有限公司的委托，我们安全现状评价小组，</w:t>
      </w:r>
      <w:r>
        <w:rPr>
          <w:rFonts w:ascii="宋体" w:hAnsi="宋体" w:eastAsia="宋体" w:cs="宋体"/>
          <w:spacing w:val="-4"/>
          <w:sz w:val="28"/>
          <w:szCs w:val="28"/>
        </w:rPr>
        <w:t>首先辨识和分析了该项目存在的主要危险、有害因素种类、场所及事故发生的主要原因，并根据生产特点和危险有害因素的分布情况进行</w:t>
      </w:r>
      <w:r>
        <w:rPr>
          <w:rFonts w:ascii="宋体" w:hAnsi="宋体" w:eastAsia="宋体" w:cs="宋体"/>
          <w:spacing w:val="-1"/>
          <w:sz w:val="28"/>
          <w:szCs w:val="28"/>
        </w:rPr>
        <w:t>单元划分，选择较为合理的评价方法对划分的评价单元进行了评价，并根据评价中发现的问题，提出了有针对性的安全对策措施及建议。</w:t>
      </w:r>
      <w:r>
        <w:rPr>
          <w:rFonts w:ascii="宋体" w:hAnsi="宋体" w:eastAsia="宋体" w:cs="宋体"/>
          <w:spacing w:val="-10"/>
          <w:sz w:val="28"/>
          <w:szCs w:val="28"/>
        </w:rPr>
        <w:t>对公司内的生产设备、辅助公用设施、安全控制措施等方面进行评价，</w:t>
      </w:r>
      <w:r>
        <w:rPr>
          <w:rFonts w:ascii="宋体" w:hAnsi="宋体" w:eastAsia="宋体" w:cs="宋体"/>
          <w:spacing w:val="-11"/>
          <w:sz w:val="28"/>
          <w:szCs w:val="28"/>
        </w:rPr>
        <w:t>目前符合法律、法规和相关技术标准规范的要求，具备安全生产条件。</w:t>
      </w:r>
    </w:p>
    <w:p w14:paraId="20302CED">
      <w:pPr>
        <w:keepNext w:val="0"/>
        <w:keepLines w:val="0"/>
        <w:pageBreakBefore w:val="0"/>
        <w:widowControl/>
        <w:suppressLineNumbers w:val="0"/>
        <w:kinsoku/>
        <w:wordWrap/>
        <w:overflowPunct/>
        <w:topLinePunct w:val="0"/>
        <w:autoSpaceDE/>
        <w:autoSpaceDN/>
        <w:bidi w:val="0"/>
        <w:adjustRightInd/>
        <w:snapToGrid/>
        <w:spacing w:line="600" w:lineRule="exact"/>
        <w:ind w:firstLine="562" w:firstLineChars="200"/>
        <w:jc w:val="left"/>
        <w:textAlignment w:val="auto"/>
        <w:rPr>
          <w:sz w:val="28"/>
          <w:szCs w:val="28"/>
          <w:shd w:val="clear" w:color="auto" w:fill="auto"/>
        </w:rPr>
      </w:pPr>
      <w:r>
        <w:rPr>
          <w:rFonts w:hint="eastAsia" w:ascii="宋体" w:hAnsi="宋体" w:eastAsia="宋体" w:cs="宋体"/>
          <w:b/>
          <w:bCs/>
          <w:color w:val="000000"/>
          <w:kern w:val="0"/>
          <w:sz w:val="28"/>
          <w:szCs w:val="28"/>
          <w:shd w:val="clear" w:color="auto" w:fill="auto"/>
          <w:lang w:val="en-US" w:eastAsia="zh-CN" w:bidi="ar"/>
        </w:rPr>
        <w:t>经评价认为：云南</w:t>
      </w:r>
      <w:r>
        <w:rPr>
          <w:rFonts w:hint="eastAsia" w:hAnsi="宋体" w:cs="宋体"/>
          <w:b/>
          <w:bCs/>
          <w:color w:val="000000"/>
          <w:kern w:val="0"/>
          <w:sz w:val="28"/>
          <w:szCs w:val="28"/>
          <w:shd w:val="clear" w:color="auto" w:fill="auto"/>
          <w:lang w:val="en-US" w:eastAsia="zh-CN" w:bidi="ar"/>
        </w:rPr>
        <w:t>高机精密数控机床</w:t>
      </w:r>
      <w:r>
        <w:rPr>
          <w:rFonts w:hint="eastAsia" w:ascii="宋体" w:hAnsi="宋体" w:eastAsia="宋体" w:cs="宋体"/>
          <w:b/>
          <w:bCs/>
          <w:color w:val="000000"/>
          <w:kern w:val="0"/>
          <w:sz w:val="28"/>
          <w:szCs w:val="28"/>
          <w:shd w:val="clear" w:color="auto" w:fill="auto"/>
          <w:lang w:val="en-US" w:eastAsia="zh-CN" w:bidi="ar"/>
        </w:rPr>
        <w:t>有限公司项目从安全生产角度分析评价符合国家有关法律、法规、标准、规范的要求，现状安全条件满足安全生产要求。</w:t>
      </w:r>
    </w:p>
    <w:p w14:paraId="67B70FD4">
      <w:pPr>
        <w:keepNext w:val="0"/>
        <w:keepLines w:val="0"/>
        <w:pageBreakBefore w:val="0"/>
        <w:widowControl w:val="0"/>
        <w:kinsoku/>
        <w:wordWrap/>
        <w:overflowPunct/>
        <w:topLinePunct w:val="0"/>
        <w:autoSpaceDE/>
        <w:autoSpaceDN/>
        <w:bidi w:val="0"/>
        <w:adjustRightInd/>
        <w:snapToGrid/>
        <w:spacing w:line="600" w:lineRule="exact"/>
        <w:ind w:left="0" w:firstLine="560" w:firstLineChars="200"/>
        <w:textAlignment w:val="auto"/>
        <w:outlineLvl w:val="9"/>
        <w:rPr>
          <w:rFonts w:hint="eastAsia" w:ascii="宋体" w:hAnsi="宋体" w:eastAsia="宋体" w:cs="宋体"/>
          <w:spacing w:val="-11"/>
          <w:sz w:val="28"/>
          <w:szCs w:val="28"/>
        </w:rPr>
      </w:pPr>
      <w:r>
        <w:rPr>
          <w:rFonts w:hint="eastAsia" w:ascii="宋体" w:hAnsi="宋体" w:eastAsia="宋体" w:cs="宋体"/>
          <w:sz w:val="28"/>
          <w:szCs w:val="28"/>
          <w:lang w:val="en-US" w:eastAsia="zh-CN"/>
        </w:rPr>
        <w:t>总之，生产是一个动态的过程，该公司在今后的生产过程中，应根据条件的变化，把安全管理工作贯穿于生产的全过程，不断完善安全管理，依靠科技进步提升安全技术水平，防止安全事故的发生，实现本质化安全。</w:t>
      </w:r>
    </w:p>
    <w:p w14:paraId="542844E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p>
    <w:p w14:paraId="0690530C">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p>
    <w:p w14:paraId="55E6EE88">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p>
    <w:p w14:paraId="16825021">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p>
    <w:p w14:paraId="510CFDE6">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p>
    <w:p w14:paraId="0F5E21A5">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p>
    <w:p w14:paraId="75814E0B">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p>
    <w:p w14:paraId="6A7AC19B">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outlineLvl w:val="0"/>
        <w:rPr>
          <w:rFonts w:hint="eastAsia"/>
          <w:lang w:val="en-US" w:eastAsia="zh-CN"/>
        </w:rPr>
      </w:pPr>
      <w:bookmarkStart w:id="268" w:name="_Toc9119"/>
      <w:bookmarkStart w:id="269" w:name="_Toc2787"/>
      <w:r>
        <w:rPr>
          <w:rFonts w:hint="eastAsia" w:ascii="宋体" w:hAnsi="宋体" w:eastAsia="宋体" w:cs="宋体"/>
          <w:b/>
          <w:bCs/>
          <w:kern w:val="2"/>
          <w:sz w:val="36"/>
          <w:szCs w:val="36"/>
          <w:lang w:val="en-US" w:eastAsia="zh-CN" w:bidi="ar-SA"/>
        </w:rPr>
        <w:t>第8章 与建设单位交换意见情况说明</w:t>
      </w:r>
      <w:bookmarkEnd w:id="268"/>
      <w:bookmarkEnd w:id="269"/>
    </w:p>
    <w:p w14:paraId="3EFDBA41">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通过对建设项目提供的资料认真分析及对现场实地勘查，就本项目各个方面的情况，本项目安全现状评价中各方面的情况及报告提出的安全对策措施及建议，与被评价单位进行了充分交流，并形成如下统一意见：</w:t>
      </w:r>
    </w:p>
    <w:p w14:paraId="09FC12AB">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1.公司编制的安全现状评价报告对项目的场址选择、总平面布置、主要建（构）筑物、</w:t>
      </w:r>
      <w:r>
        <w:rPr>
          <w:rFonts w:hint="eastAsia" w:ascii="宋体" w:hAnsi="宋体" w:eastAsia="宋体" w:cs="宋体"/>
          <w:sz w:val="28"/>
          <w:szCs w:val="28"/>
          <w:lang w:val="en-US" w:eastAsia="zh-CN"/>
        </w:rPr>
        <w:t>工艺系统及设备设施</w:t>
      </w:r>
      <w:r>
        <w:rPr>
          <w:rFonts w:hint="eastAsia" w:ascii="宋体" w:hAnsi="宋体" w:eastAsia="宋体" w:cs="宋体"/>
          <w:b w:val="0"/>
          <w:bCs w:val="0"/>
          <w:sz w:val="28"/>
          <w:szCs w:val="28"/>
          <w:lang w:val="en-US" w:eastAsia="zh-CN"/>
        </w:rPr>
        <w:t>、公用工程、特种设备、安全管理等各个方面进行了全面的检查、分析，安全现状评价结论符合项目实际。</w:t>
      </w:r>
    </w:p>
    <w:p w14:paraId="7FF7319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2.被评价单位对报告的危险有害因素的分析和辨识、报告所提出的安全对策措施及建议、评价的结论等无异议。</w:t>
      </w:r>
    </w:p>
    <w:p w14:paraId="4562E140">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eastAsia" w:ascii="宋体" w:hAnsi="宋体" w:eastAsia="宋体" w:cs="宋体"/>
          <w:b w:val="0"/>
          <w:bCs w:val="0"/>
          <w:sz w:val="28"/>
          <w:szCs w:val="28"/>
          <w:lang w:val="en-US" w:eastAsia="zh-CN"/>
        </w:rPr>
      </w:pPr>
      <w:r>
        <w:rPr>
          <w:rFonts w:hint="eastAsia" w:ascii="宋体" w:hAnsi="宋体" w:eastAsia="宋体" w:cs="宋体"/>
          <w:b w:val="0"/>
          <w:bCs w:val="0"/>
          <w:sz w:val="28"/>
          <w:szCs w:val="28"/>
          <w:lang w:val="en-US" w:eastAsia="zh-CN"/>
        </w:rPr>
        <w:t>针对项目的相关资料文件及现场勘查情况，评价组提出了相应的安全对策措施及建议，建设单位对评价组提出的意见可以接受，并进行落实。</w:t>
      </w:r>
    </w:p>
    <w:p w14:paraId="0A83DAC9">
      <w:pPr>
        <w:keepNext w:val="0"/>
        <w:keepLines w:val="0"/>
        <w:pageBreakBefore w:val="0"/>
        <w:widowControl w:val="0"/>
        <w:kinsoku/>
        <w:wordWrap/>
        <w:overflowPunct/>
        <w:topLinePunct w:val="0"/>
        <w:autoSpaceDE/>
        <w:autoSpaceDN/>
        <w:bidi w:val="0"/>
        <w:adjustRightInd/>
        <w:snapToGrid/>
        <w:spacing w:line="600" w:lineRule="exact"/>
        <w:ind w:firstLine="560" w:firstLineChars="200"/>
        <w:textAlignment w:val="auto"/>
        <w:outlineLvl w:val="9"/>
        <w:rPr>
          <w:rFonts w:hint="default" w:ascii="宋体" w:hAnsi="宋体" w:eastAsia="宋体" w:cs="宋体"/>
          <w:b w:val="0"/>
          <w:bCs w:val="0"/>
          <w:color w:val="00B0F0"/>
          <w:sz w:val="28"/>
          <w:szCs w:val="28"/>
          <w:shd w:val="clear" w:color="FFFFFF" w:fill="D9D9D9"/>
          <w:vertAlign w:val="baseline"/>
          <w:lang w:val="en-US" w:eastAsia="zh-CN"/>
        </w:rPr>
      </w:pPr>
      <w:r>
        <w:rPr>
          <w:rFonts w:hint="eastAsia" w:ascii="宋体" w:hAnsi="宋体" w:eastAsia="宋体" w:cs="宋体"/>
          <w:b w:val="0"/>
          <w:bCs w:val="0"/>
          <w:sz w:val="28"/>
          <w:szCs w:val="28"/>
          <w:lang w:val="en-US" w:eastAsia="zh-CN"/>
        </w:rPr>
        <w:t>1.企业应按照</w:t>
      </w:r>
      <w:r>
        <w:rPr>
          <w:rFonts w:hint="eastAsia" w:ascii="宋体" w:hAnsi="宋体" w:eastAsia="宋体" w:cs="宋体"/>
          <w:color w:val="000000"/>
          <w:sz w:val="28"/>
          <w:szCs w:val="28"/>
        </w:rPr>
        <w:t>根据《中华人民共和国安全生产法》（中华人民共和国主席令 第88号</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2021年9月1日实施）、《企业安全生产标准化建设定级办法》（应急</w:t>
      </w:r>
      <w:r>
        <w:rPr>
          <w:rFonts w:hint="eastAsia" w:ascii="宋体" w:hAnsi="宋体" w:eastAsia="宋体" w:cs="宋体"/>
          <w:color w:val="000000"/>
          <w:sz w:val="28"/>
          <w:szCs w:val="28"/>
          <w:lang w:val="en-US" w:eastAsia="zh-CN"/>
        </w:rPr>
        <w:t>〔</w:t>
      </w:r>
      <w:r>
        <w:rPr>
          <w:rFonts w:hint="eastAsia" w:ascii="宋体" w:hAnsi="宋体" w:eastAsia="宋体" w:cs="宋体"/>
          <w:color w:val="000000"/>
          <w:sz w:val="28"/>
          <w:szCs w:val="28"/>
        </w:rPr>
        <w:t>2021</w:t>
      </w:r>
      <w:r>
        <w:rPr>
          <w:rFonts w:hint="eastAsia" w:ascii="宋体" w:hAnsi="宋体" w:eastAsia="宋体" w:cs="宋体"/>
          <w:color w:val="000000"/>
          <w:sz w:val="28"/>
          <w:szCs w:val="28"/>
          <w:lang w:val="en-US" w:eastAsia="zh-CN"/>
        </w:rPr>
        <w:t>〕</w:t>
      </w:r>
      <w:r>
        <w:rPr>
          <w:rFonts w:hint="eastAsia" w:ascii="宋体" w:hAnsi="宋体" w:eastAsia="宋体" w:cs="宋体"/>
          <w:color w:val="000000"/>
          <w:sz w:val="28"/>
          <w:szCs w:val="28"/>
        </w:rPr>
        <w:t>83号</w:t>
      </w:r>
      <w:r>
        <w:rPr>
          <w:rFonts w:hint="eastAsia" w:ascii="宋体" w:hAnsi="宋体" w:eastAsia="宋体" w:cs="宋体"/>
          <w:color w:val="000000"/>
          <w:sz w:val="28"/>
          <w:szCs w:val="28"/>
          <w:lang w:eastAsia="zh-CN"/>
        </w:rPr>
        <w:t>，</w:t>
      </w:r>
      <w:r>
        <w:rPr>
          <w:rFonts w:hint="eastAsia" w:ascii="宋体" w:hAnsi="宋体" w:eastAsia="宋体" w:cs="宋体"/>
          <w:color w:val="000000"/>
          <w:sz w:val="28"/>
          <w:szCs w:val="28"/>
        </w:rPr>
        <w:t>2021年11月1日实施）</w:t>
      </w:r>
      <w:r>
        <w:rPr>
          <w:rFonts w:hint="eastAsia" w:ascii="宋体" w:hAnsi="宋体" w:eastAsia="宋体" w:cs="宋体"/>
          <w:color w:val="000000"/>
          <w:sz w:val="28"/>
          <w:szCs w:val="28"/>
          <w:lang w:eastAsia="zh-CN"/>
        </w:rPr>
        <w:t>、《企业安全生产标准化基本规范》（GB 33000-2016）、《云南省企业安全生产标准化建设定级实施办法》（云应急〔2023〕6号）等</w:t>
      </w:r>
      <w:r>
        <w:rPr>
          <w:rFonts w:hint="eastAsia" w:ascii="宋体" w:hAnsi="宋体" w:eastAsia="宋体" w:cs="宋体"/>
          <w:b w:val="0"/>
          <w:bCs w:val="0"/>
          <w:sz w:val="28"/>
          <w:szCs w:val="28"/>
          <w:lang w:val="en-US" w:eastAsia="zh-CN"/>
        </w:rPr>
        <w:t>相关规定，深入开展安全生产标准化创建工作，建立科学、规范的安全管理工作机制，全面夯实安全生产工作基础，提高防范事故能力。</w:t>
      </w:r>
    </w:p>
    <w:p w14:paraId="47B23462">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color w:val="000000"/>
          <w:kern w:val="0"/>
          <w:sz w:val="28"/>
          <w:szCs w:val="28"/>
          <w:lang w:val="en-US" w:eastAsia="zh-CN" w:bidi="ar"/>
        </w:rPr>
      </w:pPr>
    </w:p>
    <w:sectPr>
      <w:pgSz w:w="11906" w:h="16838"/>
      <w:pgMar w:top="1417" w:right="1134" w:bottom="1134"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nsolas">
    <w:panose1 w:val="020B0609020204030204"/>
    <w:charset w:val="00"/>
    <w:family w:val="modern"/>
    <w:pitch w:val="default"/>
    <w:sig w:usb0="E00006FF" w:usb1="0000FCFF" w:usb2="00000001" w:usb3="00000000" w:csb0="600001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瀹嬩綋">
    <w:altName w:val="AMGDT"/>
    <w:panose1 w:val="00000000000000000000"/>
    <w:charset w:val="00"/>
    <w:family w:val="auto"/>
    <w:pitch w:val="default"/>
    <w:sig w:usb0="00000000" w:usb1="00000000" w:usb2="00000000" w:usb3="00000000" w:csb0="00000000" w:csb1="00000000"/>
  </w:font>
  <w:font w:name="AMGDT">
    <w:panose1 w:val="02000400000000000000"/>
    <w:charset w:val="00"/>
    <w:family w:val="auto"/>
    <w:pitch w:val="default"/>
    <w:sig w:usb0="80000003" w:usb1="1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09F38F">
    <w:pPr>
      <w:pStyle w:val="10"/>
      <w:rPr>
        <w:rFonts w:hint="default" w:eastAsia="宋体"/>
        <w:sz w:val="24"/>
        <w:szCs w:val="24"/>
        <w:lang w:val="en-US" w:eastAsia="zh-CN"/>
      </w:rPr>
    </w:pPr>
    <w:r>
      <w:rPr>
        <w:rFonts w:hint="eastAsia"/>
        <w:sz w:val="24"/>
        <w:szCs w:val="24"/>
        <w:lang w:val="en-US" w:eastAsia="zh-CN"/>
      </w:rPr>
      <w:t>昭通市鼎安科技有限公司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CF9786">
    <w:pPr>
      <w:pStyle w:val="10"/>
      <w:rPr>
        <w:rFonts w:hint="default" w:eastAsia="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D22E5E">
                          <w:pPr>
                            <w:pStyle w:val="10"/>
                          </w:pPr>
                          <w:r>
                            <w:fldChar w:fldCharType="begin"/>
                          </w:r>
                          <w:r>
                            <w:instrText xml:space="preserve"> PAGE  \* MERGEFORMAT </w:instrText>
                          </w:r>
                          <w:r>
                            <w:fldChar w:fldCharType="separate"/>
                          </w:r>
                          <w:r>
                            <w:t>- 72 -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14:paraId="37D22E5E">
                    <w:pPr>
                      <w:pStyle w:val="10"/>
                    </w:pPr>
                    <w:r>
                      <w:fldChar w:fldCharType="begin"/>
                    </w:r>
                    <w:r>
                      <w:instrText xml:space="preserve"> PAGE  \* MERGEFORMAT </w:instrText>
                    </w:r>
                    <w:r>
                      <w:fldChar w:fldCharType="separate"/>
                    </w:r>
                    <w:r>
                      <w:t>- 72 -</w:t>
                    </w:r>
                    <w:r>
                      <w:fldChar w:fldCharType="end"/>
                    </w:r>
                  </w:p>
                </w:txbxContent>
              </v:textbox>
            </v:shape>
          </w:pict>
        </mc:Fallback>
      </mc:AlternateContent>
    </w:r>
    <w:r>
      <w:rPr>
        <w:rFonts w:hint="eastAsia"/>
        <w:lang w:val="en-US" w:eastAsia="zh-CN"/>
      </w:rPr>
      <w:t>昭通市鼎安科技有限公司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5282D">
    <w:pPr>
      <w:pStyle w:val="11"/>
      <w:pBdr>
        <w:bottom w:val="single" w:color="auto" w:sz="4" w:space="1"/>
      </w:pBdr>
      <w:tabs>
        <w:tab w:val="left" w:pos="2856"/>
        <w:tab w:val="clear" w:pos="4153"/>
      </w:tabs>
      <w:rPr>
        <w:rFonts w:hint="default"/>
        <w:sz w:val="24"/>
        <w:szCs w:val="24"/>
        <w:lang w:val="en-US" w:eastAsia="zh-CN"/>
      </w:rPr>
    </w:pPr>
    <w:r>
      <w:rPr>
        <w:rFonts w:hint="eastAsia"/>
        <w:lang w:eastAsia="zh-CN"/>
      </w:rPr>
      <w:tab/>
    </w:r>
    <w:r>
      <w:rPr>
        <w:rFonts w:hint="eastAsia"/>
        <w:sz w:val="24"/>
        <w:szCs w:val="24"/>
        <w:lang w:val="en-US" w:eastAsia="zh-CN"/>
      </w:rPr>
      <w:t>云南高机精密数控机床有限公司</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7E9890">
    <w:pPr>
      <w:pStyle w:val="11"/>
      <w:pBdr>
        <w:bottom w:val="single" w:color="auto" w:sz="4" w:space="1"/>
      </w:pBdr>
      <w:jc w:val="center"/>
      <w:rPr>
        <w:rFonts w:hint="default" w:eastAsia="宋体"/>
        <w:sz w:val="24"/>
        <w:szCs w:val="24"/>
        <w:lang w:val="en-US" w:eastAsia="zh-CN"/>
      </w:rPr>
    </w:pPr>
    <w:r>
      <w:rPr>
        <w:rFonts w:hint="eastAsia"/>
        <w:sz w:val="24"/>
        <w:szCs w:val="24"/>
        <w:lang w:val="en-US" w:eastAsia="zh-CN"/>
      </w:rPr>
      <w:t>云南高机精密数控机床有限公司安全现状评价报告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B44BF0B"/>
    <w:multiLevelType w:val="singleLevel"/>
    <w:tmpl w:val="1B44BF0B"/>
    <w:lvl w:ilvl="0" w:tentative="0">
      <w:start w:val="1"/>
      <w:numFmt w:val="decimal"/>
      <w:suff w:val="nothing"/>
      <w:lvlText w:val="%1．"/>
      <w:lvlJc w:val="left"/>
      <w:pPr>
        <w:ind w:left="0" w:firstLine="400"/>
      </w:pPr>
      <w:rPr>
        <w:rFonts w:hint="default" w:ascii="宋体" w:hAnsi="宋体" w:eastAsia="宋体" w:cs="宋体"/>
        <w:sz w:val="28"/>
        <w:szCs w:val="28"/>
      </w:rPr>
    </w:lvl>
  </w:abstractNum>
  <w:abstractNum w:abstractNumId="1">
    <w:nsid w:val="23E31F96"/>
    <w:multiLevelType w:val="singleLevel"/>
    <w:tmpl w:val="23E31F96"/>
    <w:lvl w:ilvl="0" w:tentative="0">
      <w:start w:val="1"/>
      <w:numFmt w:val="decimal"/>
      <w:suff w:val="nothing"/>
      <w:lvlText w:val="%1．"/>
      <w:lvlJc w:val="left"/>
      <w:pPr>
        <w:ind w:left="0" w:firstLine="400"/>
      </w:pPr>
      <w:rPr>
        <w:rFonts w:hint="default"/>
      </w:rPr>
    </w:lvl>
  </w:abstractNum>
  <w:abstractNum w:abstractNumId="2">
    <w:nsid w:val="5618C824"/>
    <w:multiLevelType w:val="singleLevel"/>
    <w:tmpl w:val="5618C824"/>
    <w:lvl w:ilvl="0" w:tentative="0">
      <w:start w:val="1"/>
      <w:numFmt w:val="decimal"/>
      <w:suff w:val="nothing"/>
      <w:lvlText w:val="%1、"/>
      <w:lvlJc w:val="left"/>
      <w:rPr>
        <w:rFonts w:hint="default" w:ascii="宋体" w:hAnsi="宋体" w:eastAsia="宋体" w:cstheme="majorEastAsia"/>
        <w:b w:val="0"/>
        <w:bCs w:val="0"/>
        <w:sz w:val="28"/>
        <w:szCs w:val="28"/>
      </w:rPr>
    </w:lvl>
  </w:abstractNum>
  <w:abstractNum w:abstractNumId="3">
    <w:nsid w:val="5E4B8509"/>
    <w:multiLevelType w:val="singleLevel"/>
    <w:tmpl w:val="5E4B8509"/>
    <w:lvl w:ilvl="0" w:tentative="0">
      <w:start w:val="1"/>
      <w:numFmt w:val="decimal"/>
      <w:suff w:val="nothing"/>
      <w:lvlText w:val="%1．"/>
      <w:lvlJc w:val="left"/>
      <w:pPr>
        <w:ind w:left="0" w:firstLine="400"/>
      </w:pPr>
      <w:rPr>
        <w:rFonts w:hint="default"/>
      </w:rPr>
    </w:lvl>
  </w:abstractNum>
  <w:abstractNum w:abstractNumId="4">
    <w:nsid w:val="5F47610E"/>
    <w:multiLevelType w:val="singleLevel"/>
    <w:tmpl w:val="5F47610E"/>
    <w:lvl w:ilvl="0" w:tentative="0">
      <w:start w:val="1"/>
      <w:numFmt w:val="decimal"/>
      <w:suff w:val="nothing"/>
      <w:lvlText w:val="%1．"/>
      <w:lvlJc w:val="left"/>
      <w:pPr>
        <w:ind w:left="0" w:firstLine="400"/>
      </w:pPr>
      <w:rPr>
        <w:rFonts w:hint="default" w:ascii="宋体" w:hAnsi="宋体" w:eastAsia="宋体" w:cstheme="minorEastAsia"/>
        <w:sz w:val="28"/>
        <w:szCs w:val="28"/>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4A3BED"/>
    <w:rsid w:val="008147BE"/>
    <w:rsid w:val="00A42231"/>
    <w:rsid w:val="012D0479"/>
    <w:rsid w:val="02246E5C"/>
    <w:rsid w:val="02303532"/>
    <w:rsid w:val="02FC5DE7"/>
    <w:rsid w:val="04210582"/>
    <w:rsid w:val="04DE59C9"/>
    <w:rsid w:val="04FE16E0"/>
    <w:rsid w:val="058E35AC"/>
    <w:rsid w:val="059449A4"/>
    <w:rsid w:val="061834A6"/>
    <w:rsid w:val="06936FD0"/>
    <w:rsid w:val="06C158EB"/>
    <w:rsid w:val="07D94EB6"/>
    <w:rsid w:val="07F615C4"/>
    <w:rsid w:val="0804009F"/>
    <w:rsid w:val="084C38DA"/>
    <w:rsid w:val="08E320A4"/>
    <w:rsid w:val="095347F5"/>
    <w:rsid w:val="0A7D7D7B"/>
    <w:rsid w:val="0BEF6A57"/>
    <w:rsid w:val="0E440BB0"/>
    <w:rsid w:val="0E863FE0"/>
    <w:rsid w:val="0F903933"/>
    <w:rsid w:val="1060794F"/>
    <w:rsid w:val="117B2B3A"/>
    <w:rsid w:val="11C560FB"/>
    <w:rsid w:val="129B16E6"/>
    <w:rsid w:val="15982039"/>
    <w:rsid w:val="15EB54F3"/>
    <w:rsid w:val="161517B0"/>
    <w:rsid w:val="17015072"/>
    <w:rsid w:val="17D11706"/>
    <w:rsid w:val="181F06C4"/>
    <w:rsid w:val="188E6361"/>
    <w:rsid w:val="19FF1D17"/>
    <w:rsid w:val="1A923237"/>
    <w:rsid w:val="1BEE6D2B"/>
    <w:rsid w:val="1C00080C"/>
    <w:rsid w:val="1CDB125F"/>
    <w:rsid w:val="1D4330A6"/>
    <w:rsid w:val="1DEA52D0"/>
    <w:rsid w:val="1F7A6B27"/>
    <w:rsid w:val="208F10F2"/>
    <w:rsid w:val="2155470C"/>
    <w:rsid w:val="216969CE"/>
    <w:rsid w:val="21A15FC3"/>
    <w:rsid w:val="220D2602"/>
    <w:rsid w:val="23527053"/>
    <w:rsid w:val="239C52BE"/>
    <w:rsid w:val="24AA7567"/>
    <w:rsid w:val="24C0322E"/>
    <w:rsid w:val="24E8008F"/>
    <w:rsid w:val="25B12B77"/>
    <w:rsid w:val="261B563C"/>
    <w:rsid w:val="266A16A4"/>
    <w:rsid w:val="26C568DA"/>
    <w:rsid w:val="272A2BE1"/>
    <w:rsid w:val="289C18BC"/>
    <w:rsid w:val="28C9652E"/>
    <w:rsid w:val="296E26B8"/>
    <w:rsid w:val="29B94E66"/>
    <w:rsid w:val="29F51284"/>
    <w:rsid w:val="2A027E45"/>
    <w:rsid w:val="2A497822"/>
    <w:rsid w:val="2C3F712F"/>
    <w:rsid w:val="2CCD34B4"/>
    <w:rsid w:val="2DB476A8"/>
    <w:rsid w:val="2F067A90"/>
    <w:rsid w:val="2F2D326E"/>
    <w:rsid w:val="30BA4FD6"/>
    <w:rsid w:val="3192385D"/>
    <w:rsid w:val="31E367AE"/>
    <w:rsid w:val="323B0398"/>
    <w:rsid w:val="32B47020"/>
    <w:rsid w:val="33792F26"/>
    <w:rsid w:val="343E18DD"/>
    <w:rsid w:val="345179FF"/>
    <w:rsid w:val="35011425"/>
    <w:rsid w:val="350A1233"/>
    <w:rsid w:val="35185B9C"/>
    <w:rsid w:val="35470E02"/>
    <w:rsid w:val="3699743B"/>
    <w:rsid w:val="37BE2933"/>
    <w:rsid w:val="381E5E4A"/>
    <w:rsid w:val="38AC14FF"/>
    <w:rsid w:val="3AC16F61"/>
    <w:rsid w:val="3AF86E26"/>
    <w:rsid w:val="3B084B8F"/>
    <w:rsid w:val="3D2832C7"/>
    <w:rsid w:val="3E2919ED"/>
    <w:rsid w:val="3F406FEE"/>
    <w:rsid w:val="40EA7211"/>
    <w:rsid w:val="41830C9B"/>
    <w:rsid w:val="41DB2F6D"/>
    <w:rsid w:val="42A653BA"/>
    <w:rsid w:val="42B321E2"/>
    <w:rsid w:val="42F11EE3"/>
    <w:rsid w:val="436332AB"/>
    <w:rsid w:val="43BB4E95"/>
    <w:rsid w:val="44316F05"/>
    <w:rsid w:val="45A04342"/>
    <w:rsid w:val="45AA51C1"/>
    <w:rsid w:val="45E762B7"/>
    <w:rsid w:val="46855D68"/>
    <w:rsid w:val="486378A9"/>
    <w:rsid w:val="4B3C2D5F"/>
    <w:rsid w:val="4CFD651E"/>
    <w:rsid w:val="4D012A99"/>
    <w:rsid w:val="4D1B4BF6"/>
    <w:rsid w:val="4D73233C"/>
    <w:rsid w:val="4DD252B5"/>
    <w:rsid w:val="4E467A51"/>
    <w:rsid w:val="4F361873"/>
    <w:rsid w:val="4F7F51A7"/>
    <w:rsid w:val="502D0EC8"/>
    <w:rsid w:val="51366DA2"/>
    <w:rsid w:val="51624BA2"/>
    <w:rsid w:val="520174DB"/>
    <w:rsid w:val="534C78B7"/>
    <w:rsid w:val="541508F6"/>
    <w:rsid w:val="544F58D0"/>
    <w:rsid w:val="54700F99"/>
    <w:rsid w:val="54C811C0"/>
    <w:rsid w:val="5706625C"/>
    <w:rsid w:val="574F7976"/>
    <w:rsid w:val="58555460"/>
    <w:rsid w:val="598C522D"/>
    <w:rsid w:val="5AF0321E"/>
    <w:rsid w:val="5B484E08"/>
    <w:rsid w:val="5C1D0043"/>
    <w:rsid w:val="5C4D49C3"/>
    <w:rsid w:val="5E9345EC"/>
    <w:rsid w:val="5EEC3359"/>
    <w:rsid w:val="5EEE5CC7"/>
    <w:rsid w:val="610F08B8"/>
    <w:rsid w:val="61483EA6"/>
    <w:rsid w:val="61A92379"/>
    <w:rsid w:val="61B175A6"/>
    <w:rsid w:val="61F53810"/>
    <w:rsid w:val="62F53B9C"/>
    <w:rsid w:val="67043992"/>
    <w:rsid w:val="68477C89"/>
    <w:rsid w:val="68925915"/>
    <w:rsid w:val="689C543D"/>
    <w:rsid w:val="695D5F23"/>
    <w:rsid w:val="69950F34"/>
    <w:rsid w:val="6AB97CB9"/>
    <w:rsid w:val="6C3311BD"/>
    <w:rsid w:val="6CED3A62"/>
    <w:rsid w:val="6D1D658A"/>
    <w:rsid w:val="6DC02F24"/>
    <w:rsid w:val="6DD120F4"/>
    <w:rsid w:val="6E6733A0"/>
    <w:rsid w:val="6EDA6267"/>
    <w:rsid w:val="6F3E2352"/>
    <w:rsid w:val="6FAD1286"/>
    <w:rsid w:val="6FC55867"/>
    <w:rsid w:val="6FD362DA"/>
    <w:rsid w:val="70884BE4"/>
    <w:rsid w:val="70BA00FF"/>
    <w:rsid w:val="70CC398E"/>
    <w:rsid w:val="71775FF0"/>
    <w:rsid w:val="72102A19"/>
    <w:rsid w:val="751A73BE"/>
    <w:rsid w:val="76821231"/>
    <w:rsid w:val="77AB07A1"/>
    <w:rsid w:val="77C82CC2"/>
    <w:rsid w:val="78F65A4C"/>
    <w:rsid w:val="7B116B6D"/>
    <w:rsid w:val="7B18439F"/>
    <w:rsid w:val="7B784E3E"/>
    <w:rsid w:val="7BF22E42"/>
    <w:rsid w:val="7C4618BD"/>
    <w:rsid w:val="7C7F3FAA"/>
    <w:rsid w:val="7CFB1883"/>
    <w:rsid w:val="7D796C4C"/>
    <w:rsid w:val="7E267174"/>
    <w:rsid w:val="7E3C0BAB"/>
    <w:rsid w:val="7EA15CB4"/>
    <w:rsid w:val="7EE1216A"/>
    <w:rsid w:val="7EFE2EC9"/>
    <w:rsid w:val="7F115F40"/>
    <w:rsid w:val="7F63307D"/>
    <w:rsid w:val="7FA34ECC"/>
    <w:rsid w:val="7FA426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after="260" w:line="415" w:lineRule="auto"/>
      <w:jc w:val="left"/>
      <w:outlineLvl w:val="1"/>
    </w:pPr>
    <w:rPr>
      <w:rFonts w:ascii="Arial" w:hAnsi="Arial"/>
      <w:b/>
      <w:bCs/>
      <w:kern w:val="2"/>
      <w:sz w:val="32"/>
      <w:szCs w:val="32"/>
    </w:rPr>
  </w:style>
  <w:style w:type="paragraph" w:styleId="4">
    <w:name w:val="heading 3"/>
    <w:basedOn w:val="1"/>
    <w:next w:val="1"/>
    <w:qFormat/>
    <w:uiPriority w:val="0"/>
    <w:pPr>
      <w:keepNext/>
      <w:keepLines/>
      <w:spacing w:before="260" w:after="260" w:line="360" w:lineRule="auto"/>
      <w:ind w:leftChars="200"/>
      <w:jc w:val="left"/>
      <w:outlineLvl w:val="2"/>
    </w:pPr>
    <w:rPr>
      <w:b/>
      <w:bCs/>
      <w:kern w:val="2"/>
      <w:sz w:val="30"/>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snapToGrid w:val="0"/>
      <w:spacing w:line="360" w:lineRule="auto"/>
      <w:ind w:firstLine="420" w:firstLineChars="200"/>
    </w:pPr>
    <w:rPr>
      <w:rFonts w:ascii="Times New Roman" w:hAnsi="Times New Roman" w:eastAsia="宋体" w:cs="Times New Roman"/>
      <w:sz w:val="28"/>
      <w:szCs w:val="28"/>
    </w:rPr>
  </w:style>
  <w:style w:type="paragraph" w:styleId="6">
    <w:name w:val="annotation text"/>
    <w:basedOn w:val="1"/>
    <w:semiHidden/>
    <w:qFormat/>
    <w:uiPriority w:val="0"/>
    <w:pPr>
      <w:jc w:val="left"/>
    </w:pPr>
  </w:style>
  <w:style w:type="paragraph" w:styleId="7">
    <w:name w:val="Body Text"/>
    <w:basedOn w:val="1"/>
    <w:semiHidden/>
    <w:qFormat/>
    <w:uiPriority w:val="0"/>
    <w:rPr>
      <w:rFonts w:ascii="Arial" w:hAnsi="Arial" w:eastAsia="Arial" w:cs="Arial"/>
      <w:sz w:val="21"/>
      <w:szCs w:val="21"/>
      <w:lang w:val="en-US" w:eastAsia="en-US" w:bidi="ar-SA"/>
    </w:rPr>
  </w:style>
  <w:style w:type="paragraph" w:styleId="8">
    <w:name w:val="toc 3"/>
    <w:basedOn w:val="1"/>
    <w:next w:val="1"/>
    <w:qFormat/>
    <w:uiPriority w:val="0"/>
    <w:pPr>
      <w:ind w:left="840" w:leftChars="400"/>
    </w:pPr>
  </w:style>
  <w:style w:type="paragraph" w:styleId="9">
    <w:name w:val="Plain Text"/>
    <w:basedOn w:val="1"/>
    <w:qFormat/>
    <w:uiPriority w:val="0"/>
    <w:rPr>
      <w:rFonts w:ascii="宋体" w:hAnsi="Consolas"/>
      <w:szCs w:val="21"/>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39"/>
  </w:style>
  <w:style w:type="paragraph" w:styleId="13">
    <w:name w:val="toc 2"/>
    <w:basedOn w:val="1"/>
    <w:next w:val="1"/>
    <w:qFormat/>
    <w:uiPriority w:val="0"/>
    <w:pPr>
      <w:ind w:left="420" w:leftChars="200"/>
    </w:pPr>
  </w:style>
  <w:style w:type="paragraph" w:styleId="14">
    <w:name w:val="Normal (Web)"/>
    <w:basedOn w:val="1"/>
    <w:qFormat/>
    <w:uiPriority w:val="0"/>
    <w:pPr>
      <w:widowControl/>
      <w:spacing w:before="100" w:beforeAutospacing="1" w:after="100" w:afterAutospacing="1"/>
      <w:jc w:val="left"/>
    </w:pPr>
    <w:rPr>
      <w:rFonts w:ascii="宋体" w:hAnsi="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paragraph" w:customStyle="1" w:styleId="20">
    <w:name w:val="Default"/>
    <w:basedOn w:val="21"/>
    <w:qFormat/>
    <w:uiPriority w:val="0"/>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customStyle="1" w:styleId="21">
    <w:name w:val="纯文本1"/>
    <w:basedOn w:val="1"/>
    <w:qFormat/>
    <w:uiPriority w:val="0"/>
    <w:pPr>
      <w:adjustRightInd w:val="0"/>
    </w:pPr>
    <w:rPr>
      <w:rFonts w:hAnsi="Courier New"/>
    </w:rPr>
  </w:style>
  <w:style w:type="character" w:customStyle="1" w:styleId="22">
    <w:name w:val="正文6"/>
    <w:basedOn w:val="18"/>
    <w:qFormat/>
    <w:uiPriority w:val="0"/>
    <w:rPr>
      <w:rFonts w:ascii="Times New Roman" w:hAnsi="Times New Roman" w:eastAsia="宋体"/>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20.png"/><Relationship Id="rId27" Type="http://schemas.openxmlformats.org/officeDocument/2006/relationships/image" Target="media/image19.png"/><Relationship Id="rId26" Type="http://schemas.openxmlformats.org/officeDocument/2006/relationships/image" Target="media/image18.png"/><Relationship Id="rId25" Type="http://schemas.openxmlformats.org/officeDocument/2006/relationships/image" Target="media/image17.png"/><Relationship Id="rId24" Type="http://schemas.openxmlformats.org/officeDocument/2006/relationships/image" Target="media/image16.png"/><Relationship Id="rId23" Type="http://schemas.openxmlformats.org/officeDocument/2006/relationships/image" Target="media/image15.wmf"/><Relationship Id="rId22" Type="http://schemas.openxmlformats.org/officeDocument/2006/relationships/oleObject" Target="embeddings/oleObject1.bin"/><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jpe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jpeg"/><Relationship Id="rId15" Type="http://schemas.openxmlformats.org/officeDocument/2006/relationships/image" Target="media/image8.jpeg"/><Relationship Id="rId14" Type="http://schemas.openxmlformats.org/officeDocument/2006/relationships/image" Target="media/image7.jpeg"/><Relationship Id="rId13" Type="http://schemas.openxmlformats.org/officeDocument/2006/relationships/image" Target="media/image6.jpeg"/><Relationship Id="rId12" Type="http://schemas.openxmlformats.org/officeDocument/2006/relationships/image" Target="media/image5.png"/><Relationship Id="rId11" Type="http://schemas.openxmlformats.org/officeDocument/2006/relationships/image" Target="media/image4.jpeg"/><Relationship Id="rId10" Type="http://schemas.openxmlformats.org/officeDocument/2006/relationships/image" Target="media/image3.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extobjs>
    <extobj name="F360BE8B-6686-4F3D-AEAF-501FE73E4058-1">
      <extobjdata type="F360BE8B-6686-4F3D-AEAF-501FE73E4058" data="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"/>
    </extobj>
    <extobj name="ECB019B1-382A-4266-B25C-5B523AA43C14-2">
      <extobjdata type="ECB019B1-382A-4266-B25C-5B523AA43C14" data="ewoJIkZpbGVJZCIgOiAiMzUzNDE0ODI4ODE3IiwKCSJHcm91cElkIiA6ICI1NTQ5MTM3MDIiLAoJIkltYWdlIiA6ICJpVkJPUncwS0dnb0FBQUFOU1VoRVVnQUFBekFBQUFLU0NBWUFBQUFOcXo1S0FBQUFBWE5TUjBJQXJzNGM2UUFBSUFCSlJFRlVlSnpzM1dkNFZOWGF4dkY3cDlKRGxTaEJRZ2tZaFVnT0FxSWdBZ29veFVJTklCd0VFWTRZbW9JaXFDQ2NpQ0NHVG1nQ1lxVWxLS0FvVFNsS2pzSUJUMElubUJDS1FpSTFaWkw5ZnNETXk1ZzJDV1hZOFA5OXlxeTkxcHBud25YQjNPeTkxcEl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RXN2OFBnTFpZTXc1c2NUUUFBQUFBU1VWT1JLNUNZSUk9IiwKCSJUaGVtZSIgOiAiIiwKCSJUeXBlIiA6ICJmbG93IiwKCSJWZXJzaW9uIiA6ICIiCn0K"/>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101</Pages>
  <Words>2060</Words>
  <Characters>2488</Characters>
  <Lines>0</Lines>
  <Paragraphs>0</Paragraphs>
  <TotalTime>2</TotalTime>
  <ScaleCrop>false</ScaleCrop>
  <LinksUpToDate>false</LinksUpToDate>
  <CharactersWithSpaces>2877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2024-12-13T00:23:00Z</dcterms:created>
  <dc:creator>jjjyyy</dc:creator>
  <cp:lastModifiedBy>jjjyyy</cp:lastModifiedBy>
  <dcterms:modified xsi:type="dcterms:W3CDTF">2025-04-09T12:57:32Z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266B98D6E1144DC1908E92E46FE5FDCA_11</vt:lpwstr>
  </property>
  <property fmtid="{D5CDD505-2E9C-101B-9397-08002B2CF9AE}" pid="4" name="KSOTemplateDocerSaveRecord">
    <vt:lpwstr>eyJoZGlkIjoiN2YzNjBkOTgyNWQ1YTMxYzM3MzMwNWFiODNmOWIzYWMiLCJ1c2VySWQiOiI0NjkzNzE2MTYifQ==</vt:lpwstr>
  </property>
</Properties>
</file>